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83" w:rsidRPr="00337F01" w:rsidRDefault="00DF2283" w:rsidP="00337F01">
      <w:pPr>
        <w:spacing w:line="600" w:lineRule="exact"/>
        <w:ind w:rightChars="-73" w:right="-153"/>
        <w:rPr>
          <w:rFonts w:eastAsia="楷体_GB2312"/>
          <w:shadow/>
          <w:sz w:val="24"/>
        </w:rPr>
      </w:pPr>
      <w:bookmarkStart w:id="0" w:name="OLE_LINK24"/>
      <w:bookmarkStart w:id="1" w:name="OLE_LINK25"/>
      <w:bookmarkStart w:id="2" w:name="OLE_LINK30"/>
      <w:bookmarkStart w:id="3" w:name="OLE_LINK31"/>
      <w:bookmarkStart w:id="4" w:name="OLE_LINK32"/>
      <w:bookmarkStart w:id="5" w:name="OLE_LINK44"/>
      <w:bookmarkStart w:id="6" w:name="OLE_LINK39"/>
      <w:bookmarkStart w:id="7" w:name="OLE_LINK40"/>
      <w:bookmarkStart w:id="8" w:name="OLE_LINK10"/>
      <w:bookmarkStart w:id="9" w:name="OLE_LINK11"/>
      <w:bookmarkStart w:id="10" w:name="OLE_LINK41"/>
      <w:bookmarkStart w:id="11" w:name="OLE_LINK42"/>
      <w:bookmarkStart w:id="12" w:name="OLE_LINK38"/>
      <w:bookmarkStart w:id="13" w:name="OLE_LINK43"/>
      <w:r>
        <w:rPr>
          <w:rFonts w:eastAsia="楷体_GB2312"/>
          <w:shadow/>
          <w:sz w:val="24"/>
        </w:rPr>
        <w:t>201</w:t>
      </w:r>
      <w:r w:rsidR="00DD1299">
        <w:rPr>
          <w:rFonts w:eastAsia="楷体_GB2312" w:hint="eastAsia"/>
          <w:shadow/>
          <w:sz w:val="24"/>
        </w:rPr>
        <w:t>7</w:t>
      </w:r>
      <w:r>
        <w:rPr>
          <w:rFonts w:eastAsia="楷体_GB2312"/>
          <w:shadow/>
          <w:sz w:val="24"/>
        </w:rPr>
        <w:t>年</w:t>
      </w:r>
      <w:r w:rsidR="009E72C9">
        <w:rPr>
          <w:rFonts w:eastAsia="楷体_GB2312" w:hint="eastAsia"/>
          <w:shadow/>
          <w:sz w:val="24"/>
        </w:rPr>
        <w:t>2</w:t>
      </w:r>
      <w:r>
        <w:rPr>
          <w:rFonts w:eastAsia="楷体_GB2312"/>
          <w:shadow/>
          <w:sz w:val="24"/>
        </w:rPr>
        <w:t>月</w:t>
      </w:r>
      <w:r w:rsidR="009E72C9">
        <w:rPr>
          <w:rFonts w:eastAsia="楷体_GB2312" w:hint="eastAsia"/>
          <w:shadow/>
          <w:sz w:val="24"/>
        </w:rPr>
        <w:t>1</w:t>
      </w:r>
      <w:r w:rsidR="00945BAD">
        <w:rPr>
          <w:rFonts w:eastAsia="楷体_GB2312" w:hint="eastAsia"/>
          <w:shadow/>
          <w:sz w:val="24"/>
        </w:rPr>
        <w:t>7</w:t>
      </w:r>
      <w:r>
        <w:rPr>
          <w:rFonts w:eastAsia="楷体_GB2312"/>
          <w:shadow/>
          <w:sz w:val="24"/>
        </w:rPr>
        <w:t xml:space="preserve">日　</w:t>
      </w:r>
    </w:p>
    <w:p w:rsidR="00337F01" w:rsidRDefault="00337F01" w:rsidP="00337F01">
      <w:pPr>
        <w:spacing w:line="600" w:lineRule="exact"/>
        <w:ind w:rightChars="-73" w:right="-153"/>
        <w:jc w:val="center"/>
        <w:rPr>
          <w:rFonts w:eastAsia="黑体"/>
          <w:b/>
          <w:sz w:val="52"/>
        </w:rPr>
      </w:pPr>
    </w:p>
    <w:p w:rsidR="00DF2283" w:rsidRPr="00337F01" w:rsidRDefault="00337F01" w:rsidP="00337F01">
      <w:pPr>
        <w:spacing w:line="240" w:lineRule="auto"/>
        <w:ind w:rightChars="-73" w:right="-153"/>
        <w:jc w:val="center"/>
        <w:rPr>
          <w:rFonts w:ascii="黑体" w:eastAsia="黑体"/>
          <w:b/>
          <w:sz w:val="72"/>
          <w:szCs w:val="72"/>
        </w:rPr>
      </w:pPr>
      <w:r w:rsidRPr="00337F01">
        <w:rPr>
          <w:rFonts w:ascii="黑体" w:eastAsia="黑体" w:hint="eastAsia"/>
          <w:b/>
          <w:sz w:val="52"/>
          <w:szCs w:val="52"/>
        </w:rPr>
        <w:t>经贸</w:t>
      </w:r>
      <w:r w:rsidR="00DF2283" w:rsidRPr="00337F01">
        <w:rPr>
          <w:rFonts w:ascii="黑体" w:eastAsia="黑体" w:hint="eastAsia"/>
          <w:b/>
          <w:sz w:val="52"/>
          <w:szCs w:val="52"/>
        </w:rPr>
        <w:t>摩擦</w:t>
      </w:r>
      <w:r w:rsidR="00DF2283" w:rsidRPr="00337F01">
        <w:rPr>
          <w:rFonts w:ascii="黑体" w:eastAsia="黑体" w:hint="eastAsia"/>
          <w:b/>
          <w:sz w:val="72"/>
          <w:szCs w:val="72"/>
        </w:rPr>
        <w:t>预警信息</w:t>
      </w:r>
      <w:r w:rsidR="00DF2283" w:rsidRPr="00A95D64">
        <w:rPr>
          <w:rFonts w:ascii="华文隶书" w:eastAsia="华文隶书" w:hint="eastAsia"/>
          <w:b/>
          <w:i/>
          <w:sz w:val="72"/>
          <w:szCs w:val="72"/>
        </w:rPr>
        <w:t>快报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E35D42" w:rsidRDefault="00E35D42" w:rsidP="00DB58F9">
      <w:pPr>
        <w:shd w:val="clear" w:color="auto" w:fill="FFFFFF"/>
        <w:spacing w:line="315" w:lineRule="atLeast"/>
        <w:ind w:firstLine="851"/>
        <w:rPr>
          <w:rFonts w:eastAsia="黑体"/>
          <w:b/>
          <w:sz w:val="52"/>
        </w:rPr>
      </w:pPr>
    </w:p>
    <w:p w:rsidR="001C0005" w:rsidRPr="001C0005" w:rsidRDefault="00502BDB" w:rsidP="001C0005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14" w:name="OLE_LINK6"/>
      <w:r w:rsidRPr="00337F01">
        <w:rPr>
          <w:rFonts w:ascii="黑体" w:eastAsia="黑体" w:hint="eastAsia"/>
          <w:i/>
          <w:sz w:val="32"/>
          <w:szCs w:val="32"/>
        </w:rPr>
        <w:t>贸促〔201</w:t>
      </w:r>
      <w:r>
        <w:rPr>
          <w:rFonts w:ascii="黑体" w:eastAsia="黑体" w:hint="eastAsia"/>
          <w:i/>
          <w:sz w:val="32"/>
          <w:szCs w:val="32"/>
        </w:rPr>
        <w:t>7</w:t>
      </w:r>
      <w:r w:rsidRPr="00337F01">
        <w:rPr>
          <w:rFonts w:ascii="黑体" w:eastAsia="黑体" w:hint="eastAsia"/>
          <w:i/>
          <w:sz w:val="32"/>
          <w:szCs w:val="32"/>
        </w:rPr>
        <w:t>〕</w:t>
      </w:r>
      <w:r>
        <w:rPr>
          <w:rFonts w:ascii="黑体" w:eastAsia="黑体" w:hint="eastAsia"/>
          <w:i/>
          <w:sz w:val="32"/>
          <w:szCs w:val="32"/>
        </w:rPr>
        <w:t>001</w:t>
      </w:r>
      <w:r w:rsidRPr="00337F01">
        <w:rPr>
          <w:rFonts w:ascii="黑体" w:eastAsia="黑体" w:hint="eastAsia"/>
          <w:i/>
          <w:sz w:val="32"/>
          <w:szCs w:val="32"/>
        </w:rPr>
        <w:t>号</w:t>
      </w:r>
      <w:r w:rsidRPr="00337F01">
        <w:rPr>
          <w:rFonts w:ascii="黑体" w:eastAsia="黑体" w:hint="eastAsia"/>
          <w:i/>
          <w:color w:val="FF0000"/>
          <w:sz w:val="32"/>
          <w:szCs w:val="32"/>
        </w:rPr>
        <w:t>预警</w:t>
      </w:r>
      <w:r w:rsidRPr="00337F01">
        <w:rPr>
          <w:rFonts w:ascii="黑体" w:eastAsia="黑体" w:hint="eastAsia"/>
          <w:i/>
          <w:sz w:val="32"/>
          <w:szCs w:val="32"/>
        </w:rPr>
        <w:t>信息</w:t>
      </w:r>
      <w:r w:rsidRPr="0074117F">
        <w:rPr>
          <w:rFonts w:ascii="黑体" w:eastAsia="黑体" w:hint="eastAsia"/>
          <w:i/>
          <w:sz w:val="32"/>
          <w:szCs w:val="32"/>
        </w:rPr>
        <w:t>:</w:t>
      </w:r>
      <w:r w:rsidR="001C0005" w:rsidRPr="001C0005">
        <w:rPr>
          <w:rFonts w:hint="eastAsia"/>
          <w:color w:val="000000"/>
          <w:kern w:val="0"/>
          <w:sz w:val="24"/>
        </w:rPr>
        <w:t xml:space="preserve"> </w:t>
      </w:r>
      <w:r w:rsidR="001C0005" w:rsidRPr="001C0005">
        <w:rPr>
          <w:rFonts w:ascii="仿宋_GB2312" w:eastAsia="仿宋_GB2312" w:hint="eastAsia"/>
          <w:sz w:val="32"/>
          <w:szCs w:val="32"/>
        </w:rPr>
        <w:t>2017年2月15日，美国国际贸易委员会发布公告，对原产于中国的进口非晶硅织物</w:t>
      </w:r>
      <w:proofErr w:type="gramStart"/>
      <w:r w:rsidR="001C0005" w:rsidRPr="001C0005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="001C0005" w:rsidRPr="001C0005">
        <w:rPr>
          <w:rFonts w:ascii="仿宋_GB2312" w:eastAsia="仿宋_GB2312" w:hint="eastAsia"/>
          <w:sz w:val="32"/>
          <w:szCs w:val="32"/>
        </w:rPr>
        <w:t>反倾销和反补贴产业损害肯定性终裁，裁定涉案产品在美国的销售价格低于正常价值，对美国国内产业造成实质性损害，且存在政府补贴行为。在该裁决中，5名委员</w:t>
      </w:r>
      <w:proofErr w:type="gramStart"/>
      <w:r w:rsidR="001C0005" w:rsidRPr="001C0005">
        <w:rPr>
          <w:rFonts w:ascii="仿宋_GB2312" w:eastAsia="仿宋_GB2312" w:hint="eastAsia"/>
          <w:sz w:val="32"/>
          <w:szCs w:val="32"/>
        </w:rPr>
        <w:t>投肯定票</w:t>
      </w:r>
      <w:proofErr w:type="gramEnd"/>
      <w:r w:rsidR="001C0005" w:rsidRPr="001C0005">
        <w:rPr>
          <w:rFonts w:ascii="仿宋_GB2312" w:eastAsia="仿宋_GB2312" w:hint="eastAsia"/>
          <w:sz w:val="32"/>
          <w:szCs w:val="32"/>
        </w:rPr>
        <w:t>，1名委员未参加投票。根据美国商务部公布的相关法律程序，美国商务部将于</w:t>
      </w:r>
      <w:r w:rsidR="001C0005" w:rsidRPr="001C0005">
        <w:rPr>
          <w:rFonts w:ascii="仿宋_GB2312" w:eastAsia="仿宋_GB2312"/>
          <w:sz w:val="32"/>
          <w:szCs w:val="32"/>
        </w:rPr>
        <w:t>201</w:t>
      </w:r>
      <w:r w:rsidR="001C0005" w:rsidRPr="001C0005">
        <w:rPr>
          <w:rFonts w:ascii="仿宋_GB2312" w:eastAsia="仿宋_GB2312" w:hint="eastAsia"/>
          <w:sz w:val="32"/>
          <w:szCs w:val="32"/>
        </w:rPr>
        <w:t>7年2月22日前发布反补贴征税令和反倾销征税令。据美国商务部统计，2013～2015年，美国自中国的涉案产品进口量分别为498.9万平方米、569.3万平方米和734.2万平方米，进口额分别为1316.5万美元、1629.4万美元和1603.6万美元。从该数据可以看出，2014和2015年，美国自中国涉案产品的进口量同比分别增长14.1%和29.0%。</w:t>
      </w:r>
    </w:p>
    <w:p w:rsidR="00502BDB" w:rsidRPr="00DD1299" w:rsidRDefault="001C0005" w:rsidP="001C0005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C0005">
        <w:rPr>
          <w:rFonts w:ascii="仿宋_GB2312" w:eastAsia="仿宋_GB2312"/>
          <w:sz w:val="32"/>
          <w:szCs w:val="32"/>
        </w:rPr>
        <w:t>2016</w:t>
      </w:r>
      <w:r w:rsidRPr="001C0005">
        <w:rPr>
          <w:rFonts w:ascii="仿宋_GB2312" w:eastAsia="仿宋_GB2312" w:hint="eastAsia"/>
          <w:sz w:val="32"/>
          <w:szCs w:val="32"/>
        </w:rPr>
        <w:t>年</w:t>
      </w:r>
      <w:r w:rsidRPr="001C0005">
        <w:rPr>
          <w:rFonts w:ascii="仿宋_GB2312" w:eastAsia="仿宋_GB2312"/>
          <w:sz w:val="32"/>
          <w:szCs w:val="32"/>
        </w:rPr>
        <w:t>2</w:t>
      </w:r>
      <w:r w:rsidRPr="001C0005">
        <w:rPr>
          <w:rFonts w:ascii="仿宋_GB2312" w:eastAsia="仿宋_GB2312" w:hint="eastAsia"/>
          <w:sz w:val="32"/>
          <w:szCs w:val="32"/>
        </w:rPr>
        <w:t>月</w:t>
      </w:r>
      <w:r w:rsidRPr="001C0005">
        <w:rPr>
          <w:rFonts w:ascii="仿宋_GB2312" w:eastAsia="仿宋_GB2312"/>
          <w:sz w:val="32"/>
          <w:szCs w:val="32"/>
        </w:rPr>
        <w:t>17</w:t>
      </w:r>
      <w:r w:rsidRPr="001C0005">
        <w:rPr>
          <w:rFonts w:ascii="仿宋_GB2312" w:eastAsia="仿宋_GB2312" w:hint="eastAsia"/>
          <w:sz w:val="32"/>
          <w:szCs w:val="32"/>
        </w:rPr>
        <w:t>日，美国商务部宣布，应</w:t>
      </w:r>
      <w:r w:rsidRPr="001C0005">
        <w:rPr>
          <w:rFonts w:ascii="仿宋_GB2312" w:eastAsia="仿宋_GB2312"/>
          <w:sz w:val="32"/>
          <w:szCs w:val="32"/>
        </w:rPr>
        <w:t>Auburn Manufacturing, Inc.</w:t>
      </w:r>
      <w:r w:rsidRPr="001C0005">
        <w:rPr>
          <w:rFonts w:ascii="仿宋_GB2312" w:eastAsia="仿宋_GB2312" w:hint="eastAsia"/>
          <w:sz w:val="32"/>
          <w:szCs w:val="32"/>
        </w:rPr>
        <w:t xml:space="preserve">的申请，对原产于中国的进口非晶硅织物发起反倾销和反补贴调查，涉案产品海关编码为7019.59.4021、7019.59.4096、7019.59.9021、7019.59.9096 </w:t>
      </w:r>
      <w:r w:rsidRPr="001C0005">
        <w:rPr>
          <w:rFonts w:ascii="仿宋_GB2312" w:eastAsia="仿宋_GB2312" w:hint="eastAsia"/>
          <w:sz w:val="32"/>
          <w:szCs w:val="32"/>
        </w:rPr>
        <w:lastRenderedPageBreak/>
        <w:t>等。</w:t>
      </w:r>
      <w:r w:rsidRPr="001C0005">
        <w:rPr>
          <w:rFonts w:ascii="仿宋_GB2312" w:eastAsia="仿宋_GB2312"/>
          <w:sz w:val="32"/>
          <w:szCs w:val="32"/>
        </w:rPr>
        <w:t>201</w:t>
      </w:r>
      <w:r w:rsidRPr="001C0005">
        <w:rPr>
          <w:rFonts w:ascii="仿宋_GB2312" w:eastAsia="仿宋_GB2312" w:hint="eastAsia"/>
          <w:sz w:val="32"/>
          <w:szCs w:val="32"/>
        </w:rPr>
        <w:t>7年1月18日，美国商务部发布公告，对该案</w:t>
      </w:r>
      <w:proofErr w:type="gramStart"/>
      <w:r w:rsidRPr="001C0005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C0005">
        <w:rPr>
          <w:rFonts w:ascii="仿宋_GB2312" w:eastAsia="仿宋_GB2312" w:hint="eastAsia"/>
          <w:sz w:val="32"/>
          <w:szCs w:val="32"/>
        </w:rPr>
        <w:t>反倾销和反补贴终裁，裁定中国涉案产品的倾销幅度为162.47</w:t>
      </w:r>
      <w:r w:rsidRPr="001C0005">
        <w:rPr>
          <w:rFonts w:ascii="仿宋_GB2312" w:eastAsia="仿宋_GB2312"/>
          <w:sz w:val="32"/>
          <w:szCs w:val="32"/>
        </w:rPr>
        <w:t>%</w:t>
      </w:r>
      <w:r w:rsidRPr="001C0005">
        <w:rPr>
          <w:rFonts w:ascii="仿宋_GB2312" w:eastAsia="仿宋_GB2312" w:hint="eastAsia"/>
          <w:sz w:val="32"/>
          <w:szCs w:val="32"/>
        </w:rPr>
        <w:t>，补贴率为48.94%～165.39%，合计征税达211.41%～327.86%。</w:t>
      </w:r>
    </w:p>
    <w:p w:rsidR="001C0005" w:rsidRPr="001C0005" w:rsidRDefault="00502BDB" w:rsidP="001C0005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37F01">
        <w:rPr>
          <w:rFonts w:ascii="黑体" w:eastAsia="黑体" w:hint="eastAsia"/>
          <w:i/>
          <w:sz w:val="32"/>
          <w:szCs w:val="32"/>
        </w:rPr>
        <w:t>贸促〔201</w:t>
      </w:r>
      <w:r>
        <w:rPr>
          <w:rFonts w:ascii="黑体" w:eastAsia="黑体" w:hint="eastAsia"/>
          <w:i/>
          <w:sz w:val="32"/>
          <w:szCs w:val="32"/>
        </w:rPr>
        <w:t>7</w:t>
      </w:r>
      <w:r w:rsidRPr="00337F01">
        <w:rPr>
          <w:rFonts w:ascii="黑体" w:eastAsia="黑体" w:hint="eastAsia"/>
          <w:i/>
          <w:sz w:val="32"/>
          <w:szCs w:val="32"/>
        </w:rPr>
        <w:t>〕</w:t>
      </w:r>
      <w:r>
        <w:rPr>
          <w:rFonts w:ascii="黑体" w:eastAsia="黑体" w:hint="eastAsia"/>
          <w:i/>
          <w:sz w:val="32"/>
          <w:szCs w:val="32"/>
        </w:rPr>
        <w:t>002</w:t>
      </w:r>
      <w:r w:rsidRPr="00337F01">
        <w:rPr>
          <w:rFonts w:ascii="黑体" w:eastAsia="黑体" w:hint="eastAsia"/>
          <w:i/>
          <w:sz w:val="32"/>
          <w:szCs w:val="32"/>
        </w:rPr>
        <w:t>号</w:t>
      </w:r>
      <w:r w:rsidRPr="00337F01">
        <w:rPr>
          <w:rFonts w:ascii="黑体" w:eastAsia="黑体" w:hint="eastAsia"/>
          <w:i/>
          <w:color w:val="FF0000"/>
          <w:sz w:val="32"/>
          <w:szCs w:val="32"/>
        </w:rPr>
        <w:t>预警</w:t>
      </w:r>
      <w:r w:rsidRPr="00337F01">
        <w:rPr>
          <w:rFonts w:ascii="黑体" w:eastAsia="黑体" w:hint="eastAsia"/>
          <w:i/>
          <w:sz w:val="32"/>
          <w:szCs w:val="32"/>
        </w:rPr>
        <w:t>信息</w:t>
      </w:r>
      <w:r w:rsidRPr="001C0005">
        <w:rPr>
          <w:rFonts w:ascii="仿宋_GB2312" w:eastAsia="仿宋_GB2312" w:hint="eastAsia"/>
          <w:sz w:val="32"/>
          <w:szCs w:val="32"/>
        </w:rPr>
        <w:t>:</w:t>
      </w:r>
      <w:r w:rsidRPr="00DD1299">
        <w:rPr>
          <w:rFonts w:ascii="仿宋_GB2312" w:eastAsia="仿宋_GB2312"/>
          <w:sz w:val="32"/>
          <w:szCs w:val="32"/>
        </w:rPr>
        <w:t xml:space="preserve"> </w:t>
      </w:r>
      <w:r w:rsidR="001C0005" w:rsidRPr="001C0005">
        <w:rPr>
          <w:rFonts w:ascii="仿宋_GB2312" w:eastAsia="仿宋_GB2312"/>
          <w:sz w:val="32"/>
          <w:szCs w:val="32"/>
        </w:rPr>
        <w:t>201</w:t>
      </w:r>
      <w:r w:rsidR="001C0005" w:rsidRPr="001C0005">
        <w:rPr>
          <w:rFonts w:ascii="仿宋_GB2312" w:eastAsia="仿宋_GB2312" w:hint="eastAsia"/>
          <w:sz w:val="32"/>
          <w:szCs w:val="32"/>
        </w:rPr>
        <w:t>7年2月15日，美国商务部发布公告，对原产于中国的进口木制卧室家具</w:t>
      </w:r>
      <w:proofErr w:type="gramStart"/>
      <w:r w:rsidR="001C0005" w:rsidRPr="001C0005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="001C0005" w:rsidRPr="001C0005">
        <w:rPr>
          <w:rFonts w:ascii="仿宋_GB2312" w:eastAsia="仿宋_GB2312" w:hint="eastAsia"/>
          <w:sz w:val="32"/>
          <w:szCs w:val="32"/>
        </w:rPr>
        <w:t>反倾销行政复审终裁，此次行政复审调查是美国商务部于2016年6月6日立案，调查期为2015年1月1日～12月31日，涉案产品海关编码为7009.92.1000、7009.92.5000、9403.20.0018、9403.50.9041、9403.50.9042、9403.50.9045、9403.50.9080、9403.60.8081、9403.90.8041。</w:t>
      </w:r>
    </w:p>
    <w:p w:rsidR="001C0005" w:rsidRPr="001C0005" w:rsidRDefault="001C0005" w:rsidP="001C0005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C0005">
        <w:rPr>
          <w:rFonts w:ascii="仿宋_GB2312" w:eastAsia="仿宋_GB2312" w:hint="eastAsia"/>
          <w:sz w:val="32"/>
          <w:szCs w:val="32"/>
        </w:rPr>
        <w:t>美国商务部</w:t>
      </w:r>
      <w:proofErr w:type="gramStart"/>
      <w:r w:rsidRPr="001C0005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C0005">
        <w:rPr>
          <w:rFonts w:ascii="仿宋_GB2312" w:eastAsia="仿宋_GB2312" w:hint="eastAsia"/>
          <w:sz w:val="32"/>
          <w:szCs w:val="32"/>
        </w:rPr>
        <w:t xml:space="preserve">终裁认定，以下7家企业未获得单独税率，适用216.01%的普遍税率：（1）东莞市新维思家具有限公司（Dongguan 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Singways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Furniture 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Co.,Ltd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>.）；（2）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Clearwise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Co., Ltd.（香港）；（3）Pleasant Wave Ltd.、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Passwell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Corp.（台湾）；（4）上海建浦进出口有限责任公司（Shanghai 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JianPu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Export &amp; Import Co., Ltd.）；（5）达艺家私有限公司（Decca Furniture Ltd.）（广东）；（6）出口商：杭州卡曼国际贸易有限公司（Hangzhou Cadman Trading Co., Ltd.） /生产商：海宁市昌倍家具有限公司（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Haining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Changbei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Furniture Co., Ltd.）；（7）南通旺</w:t>
      </w:r>
      <w:r w:rsidRPr="001C0005">
        <w:rPr>
          <w:rFonts w:ascii="仿宋_GB2312" w:eastAsia="仿宋_GB2312" w:hint="eastAsia"/>
          <w:sz w:val="32"/>
          <w:szCs w:val="32"/>
        </w:rPr>
        <w:lastRenderedPageBreak/>
        <w:t xml:space="preserve">庄家具有限公司（Nantong 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Wangzhuang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Furniture Co., Ltd.）。</w:t>
      </w:r>
    </w:p>
    <w:p w:rsidR="001C0005" w:rsidRPr="001C0005" w:rsidRDefault="001C0005" w:rsidP="001C0005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C0005">
        <w:rPr>
          <w:rFonts w:ascii="仿宋_GB2312" w:eastAsia="仿宋_GB2312" w:hint="eastAsia"/>
          <w:sz w:val="32"/>
          <w:szCs w:val="32"/>
        </w:rPr>
        <w:t>同时裁定，以下11家企业在调查期内无可审查交易：(1)东莞朝阳家俱有限公司（Dongguan Sunrise Furniture Co., Ltd.）、太仓朝阳木业有限公司（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Taicang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Sunrise Wood Industry Co., Ltd.）、太仓艾芙迪家具有限公司（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Taicang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Fairmount Designs Furniture Co., Ltd.）、梅州朝阳家具有限公司（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Meizhou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Sunrise Furniture Co., Ltd.）； (2) 裕龙山(昆山)有限公司（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Eurosa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(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Kunshan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>) Co., Ltd.）、裕龙山家具(私人)有限公司（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Eurosa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Furniture Co., (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Pte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) Ltd.）； (3) Golden Well International (HK) Ltd.；(4)江苏泰瑞钢结构工程有限公司（Jiangsu 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Tairui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Structure Engineering Co., Ltd.）； (5)南海晋泰木业有限公司（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Nanhai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Jiantai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Woodwork Co., Ltd.）、Fortune Glory Industrial Ltd. (H.K. Ltd.)；(6)日照三木木业股份有限公（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Rizhao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Sanmu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Woodworking Co., Ltd.）；(7) 沈阳赛宁东兴家私有限公司（Shenyang Shining 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Dongxing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Furniture Co., Ltd.）； (8) 万福阁家具（昆山）有限公司（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Wanvog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Furniture (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Kunshan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) Co., Ltd.）；(9) Woodworth Wooden Industries (Dong Guan) Co., Ltd.； (10) 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Yeh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Brothers World Trade Inc.；(11) 浙江天一科教设备有限</w:t>
      </w:r>
      <w:r w:rsidRPr="001C0005">
        <w:rPr>
          <w:rFonts w:ascii="仿宋_GB2312" w:eastAsia="仿宋_GB2312" w:hint="eastAsia"/>
          <w:sz w:val="32"/>
          <w:szCs w:val="32"/>
        </w:rPr>
        <w:lastRenderedPageBreak/>
        <w:t xml:space="preserve">公司（Zhejiang </w:t>
      </w:r>
      <w:proofErr w:type="spellStart"/>
      <w:r w:rsidRPr="001C0005">
        <w:rPr>
          <w:rFonts w:ascii="仿宋_GB2312" w:eastAsia="仿宋_GB2312" w:hint="eastAsia"/>
          <w:sz w:val="32"/>
          <w:szCs w:val="32"/>
        </w:rPr>
        <w:t>Tianyi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 xml:space="preserve"> Scientific &amp; Educational Equipment Co., Ltd.）。</w:t>
      </w:r>
      <w:r w:rsidRPr="001C0005">
        <w:rPr>
          <w:rFonts w:ascii="仿宋_GB2312" w:eastAsia="仿宋_GB2312"/>
          <w:sz w:val="32"/>
          <w:szCs w:val="32"/>
        </w:rPr>
        <w:t xml:space="preserve"> </w:t>
      </w:r>
    </w:p>
    <w:p w:rsidR="001C0005" w:rsidRPr="001C0005" w:rsidRDefault="001C0005" w:rsidP="001C0005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C0005">
        <w:rPr>
          <w:rFonts w:ascii="仿宋_GB2312" w:eastAsia="仿宋_GB2312" w:hint="eastAsia"/>
          <w:sz w:val="32"/>
          <w:szCs w:val="32"/>
        </w:rPr>
        <w:t>本案原审情况如下：2003年12月17日，应美国家具制造商委员会的申请，美国商务部对华木制卧室家具进行反倾销调查；2004年11月17日，美国商务部对该案</w:t>
      </w:r>
      <w:proofErr w:type="gramStart"/>
      <w:r w:rsidRPr="001C0005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C0005">
        <w:rPr>
          <w:rFonts w:ascii="仿宋_GB2312" w:eastAsia="仿宋_GB2312" w:hint="eastAsia"/>
          <w:sz w:val="32"/>
          <w:szCs w:val="32"/>
        </w:rPr>
        <w:t>反倾销终裁，裁定中国涉案产品的倾销幅度税率为0.79%～198.08%。</w:t>
      </w:r>
    </w:p>
    <w:p w:rsidR="00502BDB" w:rsidRPr="001C0005" w:rsidRDefault="00502BDB" w:rsidP="001C0005">
      <w:pPr>
        <w:widowControl/>
        <w:adjustRightInd w:val="0"/>
        <w:snapToGrid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C0005" w:rsidRPr="001C0005" w:rsidRDefault="00502BDB" w:rsidP="001C0005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37F01">
        <w:rPr>
          <w:rFonts w:ascii="黑体" w:eastAsia="黑体" w:hint="eastAsia"/>
          <w:i/>
          <w:sz w:val="32"/>
          <w:szCs w:val="32"/>
        </w:rPr>
        <w:t>贸促〔201</w:t>
      </w:r>
      <w:r>
        <w:rPr>
          <w:rFonts w:ascii="黑体" w:eastAsia="黑体" w:hint="eastAsia"/>
          <w:i/>
          <w:sz w:val="32"/>
          <w:szCs w:val="32"/>
        </w:rPr>
        <w:t>7</w:t>
      </w:r>
      <w:r w:rsidRPr="00337F01">
        <w:rPr>
          <w:rFonts w:ascii="黑体" w:eastAsia="黑体" w:hint="eastAsia"/>
          <w:i/>
          <w:sz w:val="32"/>
          <w:szCs w:val="32"/>
        </w:rPr>
        <w:t>〕</w:t>
      </w:r>
      <w:r>
        <w:rPr>
          <w:rFonts w:ascii="黑体" w:eastAsia="黑体" w:hint="eastAsia"/>
          <w:i/>
          <w:sz w:val="32"/>
          <w:szCs w:val="32"/>
        </w:rPr>
        <w:t>003</w:t>
      </w:r>
      <w:r w:rsidRPr="00337F01">
        <w:rPr>
          <w:rFonts w:ascii="黑体" w:eastAsia="黑体" w:hint="eastAsia"/>
          <w:i/>
          <w:sz w:val="32"/>
          <w:szCs w:val="32"/>
        </w:rPr>
        <w:t>号</w:t>
      </w:r>
      <w:r w:rsidRPr="00337F01">
        <w:rPr>
          <w:rFonts w:ascii="黑体" w:eastAsia="黑体" w:hint="eastAsia"/>
          <w:i/>
          <w:color w:val="FF0000"/>
          <w:sz w:val="32"/>
          <w:szCs w:val="32"/>
        </w:rPr>
        <w:t>预警</w:t>
      </w:r>
      <w:r w:rsidRPr="00337F01">
        <w:rPr>
          <w:rFonts w:ascii="黑体" w:eastAsia="黑体" w:hint="eastAsia"/>
          <w:i/>
          <w:sz w:val="32"/>
          <w:szCs w:val="32"/>
        </w:rPr>
        <w:t>信息</w:t>
      </w:r>
      <w:r w:rsidRPr="0074117F">
        <w:rPr>
          <w:rFonts w:ascii="黑体" w:eastAsia="黑体" w:hint="eastAsia"/>
          <w:i/>
          <w:sz w:val="32"/>
          <w:szCs w:val="32"/>
        </w:rPr>
        <w:t>:</w:t>
      </w:r>
      <w:r w:rsidR="001C0005" w:rsidRPr="001C0005">
        <w:rPr>
          <w:rFonts w:ascii="仿宋_GB2312" w:eastAsia="仿宋_GB2312" w:hint="eastAsia"/>
          <w:sz w:val="32"/>
          <w:szCs w:val="32"/>
        </w:rPr>
        <w:t xml:space="preserve"> 中国商务部16日发布的最新数据显示，1月中国对外非金融类直接投资金额约77.3亿美元，同比大幅下降35.7%，比2016年12月降低4.6%。</w:t>
      </w:r>
      <w:r w:rsidR="001C0005" w:rsidRPr="001C0005">
        <w:rPr>
          <w:rFonts w:ascii="仿宋_GB2312" w:eastAsia="仿宋_GB2312" w:hint="eastAsia"/>
          <w:bCs/>
          <w:sz w:val="32"/>
          <w:szCs w:val="32"/>
        </w:rPr>
        <w:t>这是过去一年来，中国对外投资首次同比负增长。</w:t>
      </w:r>
    </w:p>
    <w:p w:rsidR="001C0005" w:rsidRPr="001C0005" w:rsidRDefault="001C0005" w:rsidP="001C0005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C0005">
        <w:rPr>
          <w:rFonts w:ascii="仿宋_GB2312" w:eastAsia="仿宋_GB2312" w:hint="eastAsia"/>
          <w:sz w:val="32"/>
          <w:szCs w:val="32"/>
        </w:rPr>
        <w:t>分行业看，1月中国企业对外投资主要流向制造业以及信息传输、软件和信息技术服务业，同比分别增长79.4%和33.1%，占对外投资总额的比重分别上升至37.5%和11.5%。其中，流向装备制造业金额达22.9亿美元，是2016年同期的2.7倍。</w:t>
      </w:r>
    </w:p>
    <w:p w:rsidR="001C0005" w:rsidRPr="001C0005" w:rsidRDefault="001C0005" w:rsidP="001C0005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C0005">
        <w:rPr>
          <w:rFonts w:ascii="仿宋_GB2312" w:eastAsia="仿宋_GB2312" w:hint="eastAsia"/>
          <w:sz w:val="32"/>
          <w:szCs w:val="32"/>
        </w:rPr>
        <w:t>值得注意的是，1月中国企业对海外房地产业的投资额比上年同期下降了84.3%，对文化体育和娱乐业的投资额不到上年同期的十分之一。</w:t>
      </w:r>
    </w:p>
    <w:p w:rsidR="001C0005" w:rsidRPr="001C0005" w:rsidRDefault="001C0005" w:rsidP="001C0005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C0005">
        <w:rPr>
          <w:rFonts w:ascii="仿宋_GB2312" w:eastAsia="仿宋_GB2312" w:hint="eastAsia"/>
          <w:sz w:val="32"/>
          <w:szCs w:val="32"/>
        </w:rPr>
        <w:t>据中新社报道，2016年12月，中国官方曾警告说在房地产、酒店、影城、娱乐业、体育俱乐部等领域出现了非理性对外投资倾向，一些企业在力所不逮、甚至资不抵债时还</w:t>
      </w:r>
      <w:r w:rsidRPr="001C0005">
        <w:rPr>
          <w:rFonts w:ascii="仿宋_GB2312" w:eastAsia="仿宋_GB2312" w:hint="eastAsia"/>
          <w:sz w:val="32"/>
          <w:szCs w:val="32"/>
        </w:rPr>
        <w:lastRenderedPageBreak/>
        <w:t>要去搞大额对外投资。此后，官方开始着力防范对外投资风险，加强了对企业对外投资的真实性审查。</w:t>
      </w:r>
    </w:p>
    <w:p w:rsidR="00322384" w:rsidRPr="001C0005" w:rsidRDefault="00502BDB" w:rsidP="00322384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37F01">
        <w:rPr>
          <w:rFonts w:ascii="黑体" w:eastAsia="黑体" w:hint="eastAsia"/>
          <w:i/>
          <w:sz w:val="32"/>
          <w:szCs w:val="32"/>
        </w:rPr>
        <w:t>贸促〔201</w:t>
      </w:r>
      <w:r>
        <w:rPr>
          <w:rFonts w:ascii="黑体" w:eastAsia="黑体" w:hint="eastAsia"/>
          <w:i/>
          <w:sz w:val="32"/>
          <w:szCs w:val="32"/>
        </w:rPr>
        <w:t>7</w:t>
      </w:r>
      <w:r w:rsidRPr="00337F01">
        <w:rPr>
          <w:rFonts w:ascii="黑体" w:eastAsia="黑体" w:hint="eastAsia"/>
          <w:i/>
          <w:sz w:val="32"/>
          <w:szCs w:val="32"/>
        </w:rPr>
        <w:t>〕</w:t>
      </w:r>
      <w:r>
        <w:rPr>
          <w:rFonts w:ascii="黑体" w:eastAsia="黑体" w:hint="eastAsia"/>
          <w:i/>
          <w:sz w:val="32"/>
          <w:szCs w:val="32"/>
        </w:rPr>
        <w:t>004</w:t>
      </w:r>
      <w:r w:rsidRPr="00337F01">
        <w:rPr>
          <w:rFonts w:ascii="黑体" w:eastAsia="黑体" w:hint="eastAsia"/>
          <w:i/>
          <w:sz w:val="32"/>
          <w:szCs w:val="32"/>
        </w:rPr>
        <w:t>号</w:t>
      </w:r>
      <w:r w:rsidRPr="00337F01">
        <w:rPr>
          <w:rFonts w:ascii="黑体" w:eastAsia="黑体" w:hint="eastAsia"/>
          <w:i/>
          <w:color w:val="FF0000"/>
          <w:sz w:val="32"/>
          <w:szCs w:val="32"/>
        </w:rPr>
        <w:t>预警</w:t>
      </w:r>
      <w:r w:rsidRPr="00337F01">
        <w:rPr>
          <w:rFonts w:ascii="黑体" w:eastAsia="黑体" w:hint="eastAsia"/>
          <w:i/>
          <w:sz w:val="32"/>
          <w:szCs w:val="32"/>
        </w:rPr>
        <w:t>信息</w:t>
      </w:r>
      <w:r w:rsidRPr="0074117F">
        <w:rPr>
          <w:rFonts w:ascii="黑体" w:eastAsia="黑体" w:hint="eastAsia"/>
          <w:i/>
          <w:sz w:val="32"/>
          <w:szCs w:val="32"/>
        </w:rPr>
        <w:t>:</w:t>
      </w:r>
      <w:r w:rsidR="001C0005" w:rsidRPr="001C0005">
        <w:rPr>
          <w:rFonts w:ascii="微软雅黑" w:eastAsia="微软雅黑" w:hAnsi="微软雅黑" w:hint="eastAsia"/>
          <w:color w:val="4C4C4C"/>
          <w:sz w:val="26"/>
          <w:szCs w:val="26"/>
        </w:rPr>
        <w:t xml:space="preserve"> </w:t>
      </w:r>
      <w:r w:rsidR="00322384" w:rsidRPr="001C0005">
        <w:rPr>
          <w:rFonts w:ascii="仿宋_GB2312" w:eastAsia="仿宋_GB2312"/>
          <w:sz w:val="32"/>
          <w:szCs w:val="32"/>
        </w:rPr>
        <w:t>2017</w:t>
      </w:r>
      <w:r w:rsidR="00322384" w:rsidRPr="001C0005">
        <w:rPr>
          <w:rFonts w:ascii="仿宋_GB2312" w:eastAsia="仿宋_GB2312" w:hint="eastAsia"/>
          <w:sz w:val="32"/>
          <w:szCs w:val="32"/>
        </w:rPr>
        <w:t>年</w:t>
      </w:r>
      <w:r w:rsidR="00322384" w:rsidRPr="001C0005">
        <w:rPr>
          <w:rFonts w:ascii="仿宋_GB2312" w:eastAsia="仿宋_GB2312"/>
          <w:sz w:val="32"/>
          <w:szCs w:val="32"/>
        </w:rPr>
        <w:t>1</w:t>
      </w:r>
      <w:r w:rsidR="00322384" w:rsidRPr="001C0005">
        <w:rPr>
          <w:rFonts w:ascii="仿宋_GB2312" w:eastAsia="仿宋_GB2312" w:hint="eastAsia"/>
          <w:sz w:val="32"/>
          <w:szCs w:val="32"/>
        </w:rPr>
        <w:t>月</w:t>
      </w:r>
      <w:r w:rsidR="00322384" w:rsidRPr="001C0005">
        <w:rPr>
          <w:rFonts w:ascii="仿宋_GB2312" w:eastAsia="仿宋_GB2312"/>
          <w:sz w:val="32"/>
          <w:szCs w:val="32"/>
        </w:rPr>
        <w:t>25</w:t>
      </w:r>
      <w:r w:rsidR="00322384" w:rsidRPr="001C0005">
        <w:rPr>
          <w:rFonts w:ascii="仿宋_GB2312" w:eastAsia="仿宋_GB2312" w:hint="eastAsia"/>
          <w:sz w:val="32"/>
          <w:szCs w:val="32"/>
        </w:rPr>
        <w:t>日，美国国际贸易委员会（</w:t>
      </w:r>
      <w:r w:rsidR="00322384" w:rsidRPr="001C0005">
        <w:rPr>
          <w:rFonts w:ascii="仿宋_GB2312" w:eastAsia="仿宋_GB2312"/>
          <w:sz w:val="32"/>
          <w:szCs w:val="32"/>
        </w:rPr>
        <w:t>ITC</w:t>
      </w:r>
      <w:r w:rsidR="00322384" w:rsidRPr="001C0005">
        <w:rPr>
          <w:rFonts w:ascii="仿宋_GB2312" w:eastAsia="仿宋_GB2312" w:hint="eastAsia"/>
          <w:sz w:val="32"/>
          <w:szCs w:val="32"/>
        </w:rPr>
        <w:t>）发布公告称，对特定电子皮肤护理设备、刷子、充电器及其同类组件（</w:t>
      </w:r>
      <w:r w:rsidR="00322384" w:rsidRPr="001C0005">
        <w:rPr>
          <w:rFonts w:ascii="仿宋_GB2312" w:eastAsia="仿宋_GB2312"/>
          <w:sz w:val="32"/>
          <w:szCs w:val="32"/>
        </w:rPr>
        <w:t>certain electric skin care devices, brushes and chargers therefor, and kits containing the same</w:t>
      </w:r>
      <w:r w:rsidR="00322384" w:rsidRPr="001C0005">
        <w:rPr>
          <w:rFonts w:ascii="仿宋_GB2312" w:eastAsia="仿宋_GB2312" w:hint="eastAsia"/>
          <w:sz w:val="32"/>
          <w:szCs w:val="32"/>
        </w:rPr>
        <w:t>）</w:t>
      </w:r>
      <w:proofErr w:type="gramStart"/>
      <w:r w:rsidR="00322384" w:rsidRPr="001C0005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="00322384" w:rsidRPr="001C0005">
        <w:rPr>
          <w:rFonts w:ascii="仿宋_GB2312" w:eastAsia="仿宋_GB2312"/>
          <w:sz w:val="32"/>
          <w:szCs w:val="32"/>
        </w:rPr>
        <w:t>337</w:t>
      </w:r>
      <w:r w:rsidR="00322384" w:rsidRPr="001C0005">
        <w:rPr>
          <w:rFonts w:ascii="仿宋_GB2312" w:eastAsia="仿宋_GB2312" w:hint="eastAsia"/>
          <w:sz w:val="32"/>
          <w:szCs w:val="32"/>
        </w:rPr>
        <w:t>调查终裁：部分修改本案行政法官初裁（</w:t>
      </w:r>
      <w:r w:rsidR="00322384" w:rsidRPr="001C0005">
        <w:rPr>
          <w:rFonts w:ascii="仿宋_GB2312" w:eastAsia="仿宋_GB2312"/>
          <w:sz w:val="32"/>
          <w:szCs w:val="32"/>
        </w:rPr>
        <w:t>ID Order No. 42</w:t>
      </w:r>
      <w:r w:rsidR="00322384" w:rsidRPr="001C0005">
        <w:rPr>
          <w:rFonts w:ascii="仿宋_GB2312" w:eastAsia="仿宋_GB2312" w:hint="eastAsia"/>
          <w:sz w:val="32"/>
          <w:szCs w:val="32"/>
        </w:rPr>
        <w:t>），发布普遍排除令、有限排除令和禁止令，终止本案</w:t>
      </w:r>
      <w:r w:rsidR="00322384" w:rsidRPr="001C0005">
        <w:rPr>
          <w:rFonts w:ascii="仿宋_GB2312" w:eastAsia="仿宋_GB2312"/>
          <w:sz w:val="32"/>
          <w:szCs w:val="32"/>
        </w:rPr>
        <w:t>337</w:t>
      </w:r>
      <w:r w:rsidR="00322384" w:rsidRPr="001C0005">
        <w:rPr>
          <w:rFonts w:ascii="仿宋_GB2312" w:eastAsia="仿宋_GB2312" w:hint="eastAsia"/>
          <w:sz w:val="32"/>
          <w:szCs w:val="32"/>
        </w:rPr>
        <w:t>调查。</w:t>
      </w:r>
    </w:p>
    <w:p w:rsidR="00322384" w:rsidRPr="001C0005" w:rsidRDefault="00322384" w:rsidP="00322384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C0005">
        <w:rPr>
          <w:rFonts w:ascii="仿宋_GB2312" w:eastAsia="仿宋_GB2312"/>
          <w:sz w:val="32"/>
          <w:szCs w:val="32"/>
        </w:rPr>
        <w:t>2015</w:t>
      </w:r>
      <w:r w:rsidRPr="001C0005">
        <w:rPr>
          <w:rFonts w:ascii="仿宋_GB2312" w:eastAsia="仿宋_GB2312" w:hint="eastAsia"/>
          <w:sz w:val="32"/>
          <w:szCs w:val="32"/>
        </w:rPr>
        <w:t>年</w:t>
      </w:r>
      <w:r w:rsidRPr="001C0005">
        <w:rPr>
          <w:rFonts w:ascii="仿宋_GB2312" w:eastAsia="仿宋_GB2312"/>
          <w:sz w:val="32"/>
          <w:szCs w:val="32"/>
        </w:rPr>
        <w:t>4</w:t>
      </w:r>
      <w:r w:rsidRPr="001C0005">
        <w:rPr>
          <w:rFonts w:ascii="仿宋_GB2312" w:eastAsia="仿宋_GB2312" w:hint="eastAsia"/>
          <w:sz w:val="32"/>
          <w:szCs w:val="32"/>
        </w:rPr>
        <w:t>月</w:t>
      </w:r>
      <w:r w:rsidRPr="001C0005">
        <w:rPr>
          <w:rFonts w:ascii="仿宋_GB2312" w:eastAsia="仿宋_GB2312"/>
          <w:sz w:val="32"/>
          <w:szCs w:val="32"/>
        </w:rPr>
        <w:t>30</w:t>
      </w:r>
      <w:r w:rsidRPr="001C0005">
        <w:rPr>
          <w:rFonts w:ascii="仿宋_GB2312" w:eastAsia="仿宋_GB2312" w:hint="eastAsia"/>
          <w:sz w:val="32"/>
          <w:szCs w:val="32"/>
        </w:rPr>
        <w:t>日，太平洋生物实验室（</w:t>
      </w:r>
      <w:r w:rsidRPr="001C0005">
        <w:rPr>
          <w:rFonts w:ascii="仿宋_GB2312" w:eastAsia="仿宋_GB2312"/>
          <w:sz w:val="32"/>
          <w:szCs w:val="32"/>
        </w:rPr>
        <w:t>Pacific Bioscience Laboratories, Inc.</w:t>
      </w:r>
      <w:r w:rsidRPr="001C0005">
        <w:rPr>
          <w:rFonts w:ascii="仿宋_GB2312" w:eastAsia="仿宋_GB2312" w:hint="eastAsia"/>
          <w:sz w:val="32"/>
          <w:szCs w:val="32"/>
        </w:rPr>
        <w:t>）向美国</w:t>
      </w:r>
      <w:r w:rsidRPr="001C0005">
        <w:rPr>
          <w:rFonts w:ascii="仿宋_GB2312" w:eastAsia="仿宋_GB2312"/>
          <w:sz w:val="32"/>
          <w:szCs w:val="32"/>
        </w:rPr>
        <w:t>ITC</w:t>
      </w:r>
      <w:r w:rsidRPr="001C0005">
        <w:rPr>
          <w:rFonts w:ascii="仿宋_GB2312" w:eastAsia="仿宋_GB2312" w:hint="eastAsia"/>
          <w:sz w:val="32"/>
          <w:szCs w:val="32"/>
        </w:rPr>
        <w:t>提出</w:t>
      </w:r>
      <w:r w:rsidRPr="001C0005">
        <w:rPr>
          <w:rFonts w:ascii="仿宋_GB2312" w:eastAsia="仿宋_GB2312"/>
          <w:sz w:val="32"/>
          <w:szCs w:val="32"/>
        </w:rPr>
        <w:t>337</w:t>
      </w:r>
      <w:r w:rsidRPr="001C0005">
        <w:rPr>
          <w:rFonts w:ascii="仿宋_GB2312" w:eastAsia="仿宋_GB2312" w:hint="eastAsia"/>
          <w:sz w:val="32"/>
          <w:szCs w:val="32"/>
        </w:rPr>
        <w:t>立案调查申请，并于</w:t>
      </w:r>
      <w:r w:rsidRPr="001C0005">
        <w:rPr>
          <w:rFonts w:ascii="仿宋_GB2312" w:eastAsia="仿宋_GB2312"/>
          <w:sz w:val="32"/>
          <w:szCs w:val="32"/>
        </w:rPr>
        <w:t>2015</w:t>
      </w:r>
      <w:r w:rsidRPr="001C0005">
        <w:rPr>
          <w:rFonts w:ascii="仿宋_GB2312" w:eastAsia="仿宋_GB2312" w:hint="eastAsia"/>
          <w:sz w:val="32"/>
          <w:szCs w:val="32"/>
        </w:rPr>
        <w:t>年</w:t>
      </w:r>
      <w:r w:rsidRPr="001C0005">
        <w:rPr>
          <w:rFonts w:ascii="仿宋_GB2312" w:eastAsia="仿宋_GB2312"/>
          <w:sz w:val="32"/>
          <w:szCs w:val="32"/>
        </w:rPr>
        <w:t>5</w:t>
      </w:r>
      <w:r w:rsidRPr="001C0005">
        <w:rPr>
          <w:rFonts w:ascii="仿宋_GB2312" w:eastAsia="仿宋_GB2312" w:hint="eastAsia"/>
          <w:sz w:val="32"/>
          <w:szCs w:val="32"/>
        </w:rPr>
        <w:t>月</w:t>
      </w:r>
      <w:r w:rsidRPr="001C0005">
        <w:rPr>
          <w:rFonts w:ascii="仿宋_GB2312" w:eastAsia="仿宋_GB2312"/>
          <w:sz w:val="32"/>
          <w:szCs w:val="32"/>
        </w:rPr>
        <w:t>18</w:t>
      </w:r>
      <w:r w:rsidRPr="001C0005">
        <w:rPr>
          <w:rFonts w:ascii="仿宋_GB2312" w:eastAsia="仿宋_GB2312" w:hint="eastAsia"/>
          <w:sz w:val="32"/>
          <w:szCs w:val="32"/>
        </w:rPr>
        <w:t>日、</w:t>
      </w:r>
      <w:r w:rsidRPr="001C0005">
        <w:rPr>
          <w:rFonts w:ascii="仿宋_GB2312" w:eastAsia="仿宋_GB2312"/>
          <w:sz w:val="32"/>
          <w:szCs w:val="32"/>
        </w:rPr>
        <w:t>2015</w:t>
      </w:r>
      <w:r w:rsidRPr="001C0005">
        <w:rPr>
          <w:rFonts w:ascii="仿宋_GB2312" w:eastAsia="仿宋_GB2312" w:hint="eastAsia"/>
          <w:sz w:val="32"/>
          <w:szCs w:val="32"/>
        </w:rPr>
        <w:t>年</w:t>
      </w:r>
      <w:r w:rsidRPr="001C0005">
        <w:rPr>
          <w:rFonts w:ascii="仿宋_GB2312" w:eastAsia="仿宋_GB2312"/>
          <w:sz w:val="32"/>
          <w:szCs w:val="32"/>
        </w:rPr>
        <w:t>5</w:t>
      </w:r>
      <w:r w:rsidRPr="001C0005">
        <w:rPr>
          <w:rFonts w:ascii="仿宋_GB2312" w:eastAsia="仿宋_GB2312" w:hint="eastAsia"/>
          <w:sz w:val="32"/>
          <w:szCs w:val="32"/>
        </w:rPr>
        <w:t>月</w:t>
      </w:r>
      <w:r w:rsidRPr="001C0005">
        <w:rPr>
          <w:rFonts w:ascii="仿宋_GB2312" w:eastAsia="仿宋_GB2312"/>
          <w:sz w:val="32"/>
          <w:szCs w:val="32"/>
        </w:rPr>
        <w:t>20</w:t>
      </w:r>
      <w:r w:rsidRPr="001C0005">
        <w:rPr>
          <w:rFonts w:ascii="仿宋_GB2312" w:eastAsia="仿宋_GB2312" w:hint="eastAsia"/>
          <w:sz w:val="32"/>
          <w:szCs w:val="32"/>
        </w:rPr>
        <w:t>日分别补充、修正了其立案申请内容，主张对美出口、在美进口及在美销售的特定电子皮肤护理设备、刷子、充电器及其同类组件侵犯了其专利权（美国注册专利号为</w:t>
      </w:r>
      <w:r w:rsidRPr="001C0005">
        <w:rPr>
          <w:rFonts w:ascii="仿宋_GB2312" w:eastAsia="仿宋_GB2312"/>
          <w:sz w:val="32"/>
          <w:szCs w:val="32"/>
        </w:rPr>
        <w:t>7320691</w:t>
      </w:r>
      <w:r w:rsidRPr="001C0005">
        <w:rPr>
          <w:rFonts w:ascii="仿宋_GB2312" w:eastAsia="仿宋_GB2312" w:hint="eastAsia"/>
          <w:sz w:val="32"/>
          <w:szCs w:val="32"/>
        </w:rPr>
        <w:t>、</w:t>
      </w:r>
      <w:r w:rsidRPr="001C0005">
        <w:rPr>
          <w:rFonts w:ascii="仿宋_GB2312" w:eastAsia="仿宋_GB2312"/>
          <w:sz w:val="32"/>
          <w:szCs w:val="32"/>
        </w:rPr>
        <w:t>7386906</w:t>
      </w:r>
      <w:r w:rsidRPr="001C0005">
        <w:rPr>
          <w:rFonts w:ascii="仿宋_GB2312" w:eastAsia="仿宋_GB2312" w:hint="eastAsia"/>
          <w:sz w:val="32"/>
          <w:szCs w:val="32"/>
        </w:rPr>
        <w:t>和</w:t>
      </w:r>
      <w:r w:rsidRPr="001C0005">
        <w:rPr>
          <w:rFonts w:ascii="仿宋_GB2312" w:eastAsia="仿宋_GB2312"/>
          <w:sz w:val="32"/>
          <w:szCs w:val="32"/>
        </w:rPr>
        <w:t>D523809</w:t>
      </w:r>
      <w:r w:rsidRPr="001C0005">
        <w:rPr>
          <w:rFonts w:ascii="仿宋_GB2312" w:eastAsia="仿宋_GB2312" w:hint="eastAsia"/>
          <w:sz w:val="32"/>
          <w:szCs w:val="32"/>
        </w:rPr>
        <w:t>），申请启动</w:t>
      </w:r>
      <w:r w:rsidRPr="001C0005">
        <w:rPr>
          <w:rFonts w:ascii="仿宋_GB2312" w:eastAsia="仿宋_GB2312"/>
          <w:sz w:val="32"/>
          <w:szCs w:val="32"/>
        </w:rPr>
        <w:t>337</w:t>
      </w:r>
      <w:r w:rsidRPr="001C0005">
        <w:rPr>
          <w:rFonts w:ascii="仿宋_GB2312" w:eastAsia="仿宋_GB2312" w:hint="eastAsia"/>
          <w:sz w:val="32"/>
          <w:szCs w:val="32"/>
        </w:rPr>
        <w:t>调查，并发布普遍排除令和禁止令。中国海安自康电子有限公司（</w:t>
      </w:r>
      <w:proofErr w:type="spellStart"/>
      <w:r w:rsidRPr="001C0005">
        <w:rPr>
          <w:rFonts w:ascii="仿宋_GB2312" w:eastAsia="仿宋_GB2312"/>
          <w:sz w:val="32"/>
          <w:szCs w:val="32"/>
        </w:rPr>
        <w:t>ShangHai</w:t>
      </w:r>
      <w:proofErr w:type="spellEnd"/>
      <w:r w:rsidRPr="001C0005">
        <w:rPr>
          <w:rFonts w:ascii="仿宋_GB2312" w:eastAsia="仿宋_GB2312"/>
          <w:sz w:val="32"/>
          <w:szCs w:val="32"/>
        </w:rPr>
        <w:t xml:space="preserve"> </w:t>
      </w:r>
      <w:proofErr w:type="spellStart"/>
      <w:r w:rsidRPr="001C0005">
        <w:rPr>
          <w:rFonts w:ascii="仿宋_GB2312" w:eastAsia="仿宋_GB2312"/>
          <w:sz w:val="32"/>
          <w:szCs w:val="32"/>
        </w:rPr>
        <w:t>Anzikang</w:t>
      </w:r>
      <w:proofErr w:type="spellEnd"/>
      <w:r w:rsidRPr="001C0005">
        <w:rPr>
          <w:rFonts w:ascii="仿宋_GB2312" w:eastAsia="仿宋_GB2312"/>
          <w:sz w:val="32"/>
          <w:szCs w:val="32"/>
        </w:rPr>
        <w:t xml:space="preserve"> Electric Co., Ltd.</w:t>
      </w:r>
      <w:r w:rsidRPr="001C0005">
        <w:rPr>
          <w:rFonts w:ascii="仿宋_GB2312" w:eastAsia="仿宋_GB2312" w:hint="eastAsia"/>
          <w:sz w:val="32"/>
          <w:szCs w:val="32"/>
        </w:rPr>
        <w:t>）、</w:t>
      </w:r>
      <w:r w:rsidRPr="001C0005">
        <w:rPr>
          <w:rFonts w:ascii="仿宋_GB2312" w:eastAsia="仿宋_GB2312"/>
          <w:sz w:val="32"/>
          <w:szCs w:val="32"/>
        </w:rPr>
        <w:t xml:space="preserve">Wenzhou Ai </w:t>
      </w:r>
      <w:proofErr w:type="spellStart"/>
      <w:r w:rsidRPr="001C0005">
        <w:rPr>
          <w:rFonts w:ascii="仿宋_GB2312" w:eastAsia="仿宋_GB2312"/>
          <w:sz w:val="32"/>
          <w:szCs w:val="32"/>
        </w:rPr>
        <w:t>Er</w:t>
      </w:r>
      <w:proofErr w:type="spellEnd"/>
      <w:r w:rsidRPr="001C0005">
        <w:rPr>
          <w:rFonts w:ascii="仿宋_GB2312" w:eastAsia="仿宋_GB2312"/>
          <w:sz w:val="32"/>
          <w:szCs w:val="32"/>
        </w:rPr>
        <w:t xml:space="preserve"> Electrical Technology Co., Ltd.</w:t>
      </w:r>
      <w:r w:rsidRPr="001C0005">
        <w:rPr>
          <w:rFonts w:ascii="仿宋_GB2312" w:eastAsia="仿宋_GB2312" w:hint="eastAsia"/>
          <w:sz w:val="32"/>
          <w:szCs w:val="32"/>
        </w:rPr>
        <w:t>（经营名称为</w:t>
      </w:r>
      <w:r w:rsidRPr="001C0005">
        <w:rPr>
          <w:rFonts w:ascii="仿宋_GB2312" w:eastAsia="仿宋_GB2312"/>
          <w:sz w:val="32"/>
          <w:szCs w:val="32"/>
        </w:rPr>
        <w:t> </w:t>
      </w:r>
      <w:proofErr w:type="spellStart"/>
      <w:r w:rsidRPr="001C0005">
        <w:rPr>
          <w:rFonts w:ascii="仿宋_GB2312" w:eastAsia="仿宋_GB2312"/>
          <w:sz w:val="32"/>
          <w:szCs w:val="32"/>
        </w:rPr>
        <w:t>Cnaier</w:t>
      </w:r>
      <w:proofErr w:type="spellEnd"/>
      <w:r w:rsidRPr="001C0005">
        <w:rPr>
          <w:rFonts w:ascii="仿宋_GB2312" w:eastAsia="仿宋_GB2312"/>
          <w:sz w:val="32"/>
          <w:szCs w:val="32"/>
        </w:rPr>
        <w:t> </w:t>
      </w:r>
      <w:r w:rsidRPr="001C0005">
        <w:rPr>
          <w:rFonts w:ascii="仿宋_GB2312" w:eastAsia="仿宋_GB2312" w:hint="eastAsia"/>
          <w:sz w:val="32"/>
          <w:szCs w:val="32"/>
        </w:rPr>
        <w:t>）和</w:t>
      </w:r>
      <w:proofErr w:type="spellStart"/>
      <w:r w:rsidRPr="001C0005">
        <w:rPr>
          <w:rFonts w:ascii="仿宋_GB2312" w:eastAsia="仿宋_GB2312"/>
          <w:sz w:val="32"/>
          <w:szCs w:val="32"/>
        </w:rPr>
        <w:t>Xnovi</w:t>
      </w:r>
      <w:proofErr w:type="spellEnd"/>
      <w:r w:rsidRPr="001C0005">
        <w:rPr>
          <w:rFonts w:ascii="仿宋_GB2312" w:eastAsia="仿宋_GB2312"/>
          <w:sz w:val="32"/>
          <w:szCs w:val="32"/>
        </w:rPr>
        <w:t xml:space="preserve"> Electronic Co., Ltd.</w:t>
      </w:r>
      <w:r w:rsidRPr="001C0005">
        <w:rPr>
          <w:rFonts w:ascii="仿宋_GB2312" w:eastAsia="仿宋_GB2312"/>
          <w:sz w:val="32"/>
          <w:szCs w:val="32"/>
        </w:rPr>
        <w:t>–</w:t>
      </w:r>
      <w:r w:rsidRPr="001C0005">
        <w:rPr>
          <w:rFonts w:ascii="仿宋_GB2312" w:eastAsia="仿宋_GB2312"/>
          <w:sz w:val="32"/>
          <w:szCs w:val="32"/>
        </w:rPr>
        <w:t>Shenzhen</w:t>
      </w:r>
      <w:r w:rsidRPr="001C0005">
        <w:rPr>
          <w:rFonts w:ascii="仿宋_GB2312" w:eastAsia="仿宋_GB2312" w:hint="eastAsia"/>
          <w:sz w:val="32"/>
          <w:szCs w:val="32"/>
        </w:rPr>
        <w:t>涉案。</w:t>
      </w:r>
      <w:r w:rsidRPr="001C0005">
        <w:rPr>
          <w:rFonts w:ascii="仿宋_GB2312" w:eastAsia="仿宋_GB2312"/>
          <w:sz w:val="32"/>
          <w:szCs w:val="32"/>
        </w:rPr>
        <w:t>2016</w:t>
      </w:r>
      <w:r w:rsidRPr="001C0005">
        <w:rPr>
          <w:rFonts w:ascii="仿宋_GB2312" w:eastAsia="仿宋_GB2312" w:hint="eastAsia"/>
          <w:sz w:val="32"/>
          <w:szCs w:val="32"/>
        </w:rPr>
        <w:t>年</w:t>
      </w:r>
      <w:r w:rsidRPr="001C0005">
        <w:rPr>
          <w:rFonts w:ascii="仿宋_GB2312" w:eastAsia="仿宋_GB2312"/>
          <w:sz w:val="32"/>
          <w:szCs w:val="32"/>
        </w:rPr>
        <w:t>6</w:t>
      </w:r>
      <w:r w:rsidRPr="001C0005">
        <w:rPr>
          <w:rFonts w:ascii="仿宋_GB2312" w:eastAsia="仿宋_GB2312" w:hint="eastAsia"/>
          <w:sz w:val="32"/>
          <w:szCs w:val="32"/>
        </w:rPr>
        <w:t>月</w:t>
      </w:r>
      <w:r w:rsidRPr="001C0005">
        <w:rPr>
          <w:rFonts w:ascii="仿宋_GB2312" w:eastAsia="仿宋_GB2312"/>
          <w:sz w:val="32"/>
          <w:szCs w:val="32"/>
        </w:rPr>
        <w:t>19</w:t>
      </w:r>
      <w:r w:rsidRPr="001C0005">
        <w:rPr>
          <w:rFonts w:ascii="仿宋_GB2312" w:eastAsia="仿宋_GB2312" w:hint="eastAsia"/>
          <w:sz w:val="32"/>
          <w:szCs w:val="32"/>
        </w:rPr>
        <w:t>日，美国</w:t>
      </w:r>
      <w:r w:rsidRPr="001C0005">
        <w:rPr>
          <w:rFonts w:ascii="仿宋_GB2312" w:eastAsia="仿宋_GB2312"/>
          <w:sz w:val="32"/>
          <w:szCs w:val="32"/>
        </w:rPr>
        <w:t>ITC</w:t>
      </w:r>
      <w:r w:rsidRPr="001C0005">
        <w:rPr>
          <w:rFonts w:ascii="仿宋_GB2312" w:eastAsia="仿宋_GB2312" w:hint="eastAsia"/>
          <w:sz w:val="32"/>
          <w:szCs w:val="32"/>
        </w:rPr>
        <w:t>投票决定对特定电子皮肤护理设备、刷子、充电器及其同类组件启动</w:t>
      </w:r>
      <w:r w:rsidRPr="001C0005">
        <w:rPr>
          <w:rFonts w:ascii="仿宋_GB2312" w:eastAsia="仿宋_GB2312"/>
          <w:sz w:val="32"/>
          <w:szCs w:val="32"/>
        </w:rPr>
        <w:t>337</w:t>
      </w:r>
      <w:r w:rsidRPr="001C0005">
        <w:rPr>
          <w:rFonts w:ascii="仿宋_GB2312" w:eastAsia="仿宋_GB2312" w:hint="eastAsia"/>
          <w:sz w:val="32"/>
          <w:szCs w:val="32"/>
        </w:rPr>
        <w:t>调查。美国</w:t>
      </w:r>
      <w:r w:rsidRPr="001C0005">
        <w:rPr>
          <w:rFonts w:ascii="仿宋_GB2312" w:eastAsia="仿宋_GB2312"/>
          <w:sz w:val="32"/>
          <w:szCs w:val="32"/>
        </w:rPr>
        <w:t>ITC</w:t>
      </w:r>
      <w:r w:rsidRPr="001C0005">
        <w:rPr>
          <w:rFonts w:ascii="仿宋_GB2312" w:eastAsia="仿宋_GB2312" w:hint="eastAsia"/>
          <w:sz w:val="32"/>
          <w:szCs w:val="32"/>
        </w:rPr>
        <w:t>先后基于同意令对美</w:t>
      </w:r>
      <w:r w:rsidRPr="001C0005">
        <w:rPr>
          <w:rFonts w:ascii="仿宋_GB2312" w:eastAsia="仿宋_GB2312" w:hint="eastAsia"/>
          <w:sz w:val="32"/>
          <w:szCs w:val="32"/>
        </w:rPr>
        <w:lastRenderedPageBreak/>
        <w:t>国</w:t>
      </w:r>
      <w:proofErr w:type="spellStart"/>
      <w:r w:rsidRPr="001C0005">
        <w:rPr>
          <w:rFonts w:ascii="仿宋_GB2312" w:eastAsia="仿宋_GB2312"/>
          <w:sz w:val="32"/>
          <w:szCs w:val="32"/>
        </w:rPr>
        <w:t>SkincarebyAlana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>、</w:t>
      </w:r>
      <w:proofErr w:type="spellStart"/>
      <w:r w:rsidRPr="001C0005">
        <w:rPr>
          <w:rFonts w:ascii="仿宋_GB2312" w:eastAsia="仿宋_GB2312"/>
          <w:sz w:val="32"/>
          <w:szCs w:val="32"/>
        </w:rPr>
        <w:t>Unicos</w:t>
      </w:r>
      <w:proofErr w:type="spellEnd"/>
      <w:r w:rsidRPr="001C0005">
        <w:rPr>
          <w:rFonts w:ascii="仿宋_GB2312" w:eastAsia="仿宋_GB2312"/>
          <w:sz w:val="32"/>
          <w:szCs w:val="32"/>
        </w:rPr>
        <w:t xml:space="preserve"> USA, Inc.</w:t>
      </w:r>
      <w:r w:rsidRPr="001C0005">
        <w:rPr>
          <w:rFonts w:ascii="仿宋_GB2312" w:eastAsia="仿宋_GB2312" w:hint="eastAsia"/>
          <w:sz w:val="32"/>
          <w:szCs w:val="32"/>
        </w:rPr>
        <w:t>和</w:t>
      </w:r>
      <w:r w:rsidRPr="001C0005">
        <w:rPr>
          <w:rFonts w:ascii="仿宋_GB2312" w:eastAsia="仿宋_GB2312"/>
          <w:sz w:val="32"/>
          <w:szCs w:val="32"/>
        </w:rPr>
        <w:t xml:space="preserve">H2PRO </w:t>
      </w:r>
      <w:proofErr w:type="spellStart"/>
      <w:r w:rsidRPr="001C0005">
        <w:rPr>
          <w:rFonts w:ascii="仿宋_GB2312" w:eastAsia="仿宋_GB2312"/>
          <w:sz w:val="32"/>
          <w:szCs w:val="32"/>
        </w:rPr>
        <w:t>Beautylife</w:t>
      </w:r>
      <w:proofErr w:type="spellEnd"/>
      <w:r w:rsidRPr="001C0005">
        <w:rPr>
          <w:rFonts w:ascii="仿宋_GB2312" w:eastAsia="仿宋_GB2312"/>
          <w:sz w:val="32"/>
          <w:szCs w:val="32"/>
        </w:rPr>
        <w:t>, Inc.</w:t>
      </w:r>
      <w:r w:rsidRPr="001C0005">
        <w:rPr>
          <w:rFonts w:ascii="仿宋_GB2312" w:eastAsia="仿宋_GB2312" w:hint="eastAsia"/>
          <w:sz w:val="32"/>
          <w:szCs w:val="32"/>
        </w:rPr>
        <w:t>等</w:t>
      </w:r>
      <w:r w:rsidRPr="001C0005">
        <w:rPr>
          <w:rFonts w:ascii="仿宋_GB2312" w:eastAsia="仿宋_GB2312"/>
          <w:sz w:val="32"/>
          <w:szCs w:val="32"/>
        </w:rPr>
        <w:t>8</w:t>
      </w:r>
      <w:r w:rsidRPr="001C0005">
        <w:rPr>
          <w:rFonts w:ascii="仿宋_GB2312" w:eastAsia="仿宋_GB2312" w:hint="eastAsia"/>
          <w:sz w:val="32"/>
          <w:szCs w:val="32"/>
        </w:rPr>
        <w:t>家指定应诉方的</w:t>
      </w:r>
      <w:r w:rsidRPr="001C0005">
        <w:rPr>
          <w:rFonts w:ascii="仿宋_GB2312" w:eastAsia="仿宋_GB2312"/>
          <w:sz w:val="32"/>
          <w:szCs w:val="32"/>
        </w:rPr>
        <w:t>337</w:t>
      </w:r>
      <w:r w:rsidRPr="001C0005">
        <w:rPr>
          <w:rFonts w:ascii="仿宋_GB2312" w:eastAsia="仿宋_GB2312" w:hint="eastAsia"/>
          <w:sz w:val="32"/>
          <w:szCs w:val="32"/>
        </w:rPr>
        <w:t>调查。本案行政法官先后初步裁定其他</w:t>
      </w:r>
      <w:r w:rsidRPr="001C0005">
        <w:rPr>
          <w:rFonts w:ascii="仿宋_GB2312" w:eastAsia="仿宋_GB2312"/>
          <w:sz w:val="32"/>
          <w:szCs w:val="32"/>
        </w:rPr>
        <w:t>10</w:t>
      </w:r>
      <w:r w:rsidRPr="001C0005">
        <w:rPr>
          <w:rFonts w:ascii="仿宋_GB2312" w:eastAsia="仿宋_GB2312" w:hint="eastAsia"/>
          <w:sz w:val="32"/>
          <w:szCs w:val="32"/>
        </w:rPr>
        <w:t>家应诉方缺席。</w:t>
      </w:r>
      <w:r w:rsidRPr="001C0005">
        <w:rPr>
          <w:rFonts w:ascii="仿宋_GB2312" w:eastAsia="仿宋_GB2312"/>
          <w:sz w:val="32"/>
          <w:szCs w:val="32"/>
        </w:rPr>
        <w:t>2016</w:t>
      </w:r>
      <w:r w:rsidRPr="001C0005">
        <w:rPr>
          <w:rFonts w:ascii="仿宋_GB2312" w:eastAsia="仿宋_GB2312" w:hint="eastAsia"/>
          <w:sz w:val="32"/>
          <w:szCs w:val="32"/>
        </w:rPr>
        <w:t>年</w:t>
      </w:r>
      <w:r w:rsidRPr="001C0005">
        <w:rPr>
          <w:rFonts w:ascii="仿宋_GB2312" w:eastAsia="仿宋_GB2312"/>
          <w:sz w:val="32"/>
          <w:szCs w:val="32"/>
        </w:rPr>
        <w:t>2</w:t>
      </w:r>
      <w:r w:rsidRPr="001C0005">
        <w:rPr>
          <w:rFonts w:ascii="仿宋_GB2312" w:eastAsia="仿宋_GB2312" w:hint="eastAsia"/>
          <w:sz w:val="32"/>
          <w:szCs w:val="32"/>
        </w:rPr>
        <w:t>月</w:t>
      </w:r>
      <w:r w:rsidRPr="001C0005">
        <w:rPr>
          <w:rFonts w:ascii="仿宋_GB2312" w:eastAsia="仿宋_GB2312"/>
          <w:sz w:val="32"/>
          <w:szCs w:val="32"/>
        </w:rPr>
        <w:t>18</w:t>
      </w:r>
      <w:r w:rsidRPr="001C0005">
        <w:rPr>
          <w:rFonts w:ascii="仿宋_GB2312" w:eastAsia="仿宋_GB2312" w:hint="eastAsia"/>
          <w:sz w:val="32"/>
          <w:szCs w:val="32"/>
        </w:rPr>
        <w:t>日，太平洋生物实验室提交对初裁裁定缺席的应诉方</w:t>
      </w:r>
      <w:proofErr w:type="gramStart"/>
      <w:r w:rsidRPr="001C0005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C0005">
        <w:rPr>
          <w:rFonts w:ascii="仿宋_GB2312" w:eastAsia="仿宋_GB2312" w:hint="eastAsia"/>
          <w:sz w:val="32"/>
          <w:szCs w:val="32"/>
        </w:rPr>
        <w:t>侵犯其专利权简易判决的动议。</w:t>
      </w:r>
      <w:r w:rsidRPr="001C0005">
        <w:rPr>
          <w:rFonts w:ascii="仿宋_GB2312" w:eastAsia="仿宋_GB2312"/>
          <w:sz w:val="32"/>
          <w:szCs w:val="32"/>
        </w:rPr>
        <w:t>2016</w:t>
      </w:r>
      <w:r w:rsidRPr="001C0005">
        <w:rPr>
          <w:rFonts w:ascii="仿宋_GB2312" w:eastAsia="仿宋_GB2312" w:hint="eastAsia"/>
          <w:sz w:val="32"/>
          <w:szCs w:val="32"/>
        </w:rPr>
        <w:t>年</w:t>
      </w:r>
      <w:r w:rsidRPr="001C0005">
        <w:rPr>
          <w:rFonts w:ascii="仿宋_GB2312" w:eastAsia="仿宋_GB2312"/>
          <w:sz w:val="32"/>
          <w:szCs w:val="32"/>
        </w:rPr>
        <w:t>4</w:t>
      </w:r>
      <w:r w:rsidRPr="001C0005">
        <w:rPr>
          <w:rFonts w:ascii="仿宋_GB2312" w:eastAsia="仿宋_GB2312" w:hint="eastAsia"/>
          <w:sz w:val="32"/>
          <w:szCs w:val="32"/>
        </w:rPr>
        <w:t>月</w:t>
      </w:r>
      <w:r w:rsidRPr="001C0005">
        <w:rPr>
          <w:rFonts w:ascii="仿宋_GB2312" w:eastAsia="仿宋_GB2312"/>
          <w:sz w:val="32"/>
          <w:szCs w:val="32"/>
        </w:rPr>
        <w:t>11</w:t>
      </w:r>
      <w:r w:rsidRPr="001C0005">
        <w:rPr>
          <w:rFonts w:ascii="仿宋_GB2312" w:eastAsia="仿宋_GB2312" w:hint="eastAsia"/>
          <w:sz w:val="32"/>
          <w:szCs w:val="32"/>
        </w:rPr>
        <w:t>日，本案行政法官</w:t>
      </w:r>
      <w:proofErr w:type="gramStart"/>
      <w:r w:rsidRPr="001C0005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C0005">
        <w:rPr>
          <w:rFonts w:ascii="仿宋_GB2312" w:eastAsia="仿宋_GB2312" w:hint="eastAsia"/>
          <w:sz w:val="32"/>
          <w:szCs w:val="32"/>
        </w:rPr>
        <w:t>准予上述动议的初裁（</w:t>
      </w:r>
      <w:r w:rsidRPr="001C0005">
        <w:rPr>
          <w:rFonts w:ascii="仿宋_GB2312" w:eastAsia="仿宋_GB2312"/>
          <w:sz w:val="32"/>
          <w:szCs w:val="32"/>
        </w:rPr>
        <w:t>ID (Order No. 42)</w:t>
      </w:r>
      <w:r w:rsidRPr="001C0005">
        <w:rPr>
          <w:rFonts w:ascii="仿宋_GB2312" w:eastAsia="仿宋_GB2312" w:hint="eastAsia"/>
          <w:sz w:val="32"/>
          <w:szCs w:val="32"/>
        </w:rPr>
        <w:t>）。美国</w:t>
      </w:r>
      <w:r w:rsidRPr="001C0005">
        <w:rPr>
          <w:rFonts w:ascii="仿宋_GB2312" w:eastAsia="仿宋_GB2312"/>
          <w:sz w:val="32"/>
          <w:szCs w:val="32"/>
        </w:rPr>
        <w:t>ITC</w:t>
      </w:r>
      <w:r w:rsidRPr="001C0005">
        <w:rPr>
          <w:rFonts w:ascii="仿宋_GB2312" w:eastAsia="仿宋_GB2312" w:hint="eastAsia"/>
          <w:sz w:val="32"/>
          <w:szCs w:val="32"/>
        </w:rPr>
        <w:t>调查律师（</w:t>
      </w:r>
      <w:r w:rsidRPr="001C0005">
        <w:rPr>
          <w:rFonts w:ascii="仿宋_GB2312" w:eastAsia="仿宋_GB2312"/>
          <w:sz w:val="32"/>
          <w:szCs w:val="32"/>
        </w:rPr>
        <w:t>IA</w:t>
      </w:r>
      <w:r w:rsidRPr="001C0005">
        <w:rPr>
          <w:rFonts w:ascii="仿宋_GB2312" w:eastAsia="仿宋_GB2312" w:hint="eastAsia"/>
          <w:sz w:val="32"/>
          <w:szCs w:val="32"/>
        </w:rPr>
        <w:t>）即时提交对上述行政法官初裁进行部分复审的申请。</w:t>
      </w:r>
      <w:r w:rsidRPr="001C0005">
        <w:rPr>
          <w:rFonts w:ascii="仿宋_GB2312" w:eastAsia="仿宋_GB2312"/>
          <w:sz w:val="32"/>
          <w:szCs w:val="32"/>
        </w:rPr>
        <w:t>2016</w:t>
      </w:r>
      <w:r w:rsidRPr="001C0005">
        <w:rPr>
          <w:rFonts w:ascii="仿宋_GB2312" w:eastAsia="仿宋_GB2312" w:hint="eastAsia"/>
          <w:sz w:val="32"/>
          <w:szCs w:val="32"/>
        </w:rPr>
        <w:t>年</w:t>
      </w:r>
      <w:r w:rsidRPr="001C0005">
        <w:rPr>
          <w:rFonts w:ascii="仿宋_GB2312" w:eastAsia="仿宋_GB2312"/>
          <w:sz w:val="32"/>
          <w:szCs w:val="32"/>
        </w:rPr>
        <w:t>5</w:t>
      </w:r>
      <w:r w:rsidRPr="001C0005">
        <w:rPr>
          <w:rFonts w:ascii="仿宋_GB2312" w:eastAsia="仿宋_GB2312" w:hint="eastAsia"/>
          <w:sz w:val="32"/>
          <w:szCs w:val="32"/>
        </w:rPr>
        <w:t>月</w:t>
      </w:r>
      <w:r w:rsidRPr="001C0005">
        <w:rPr>
          <w:rFonts w:ascii="仿宋_GB2312" w:eastAsia="仿宋_GB2312"/>
          <w:sz w:val="32"/>
          <w:szCs w:val="32"/>
        </w:rPr>
        <w:t>26</w:t>
      </w:r>
      <w:r w:rsidRPr="001C0005">
        <w:rPr>
          <w:rFonts w:ascii="仿宋_GB2312" w:eastAsia="仿宋_GB2312" w:hint="eastAsia"/>
          <w:sz w:val="32"/>
          <w:szCs w:val="32"/>
        </w:rPr>
        <w:t>日，美国</w:t>
      </w:r>
      <w:r w:rsidRPr="001C0005">
        <w:rPr>
          <w:rFonts w:ascii="仿宋_GB2312" w:eastAsia="仿宋_GB2312"/>
          <w:sz w:val="32"/>
          <w:szCs w:val="32"/>
        </w:rPr>
        <w:t>ITC</w:t>
      </w:r>
      <w:r w:rsidRPr="001C0005">
        <w:rPr>
          <w:rFonts w:ascii="仿宋_GB2312" w:eastAsia="仿宋_GB2312" w:hint="eastAsia"/>
          <w:sz w:val="32"/>
          <w:szCs w:val="32"/>
        </w:rPr>
        <w:t>决定对上述行政法官初裁进行部分复审。美国</w:t>
      </w:r>
      <w:r w:rsidRPr="001C0005">
        <w:rPr>
          <w:rFonts w:ascii="仿宋_GB2312" w:eastAsia="仿宋_GB2312"/>
          <w:sz w:val="32"/>
          <w:szCs w:val="32"/>
        </w:rPr>
        <w:t>ITC</w:t>
      </w:r>
      <w:r w:rsidRPr="001C0005">
        <w:rPr>
          <w:rFonts w:ascii="仿宋_GB2312" w:eastAsia="仿宋_GB2312" w:hint="eastAsia"/>
          <w:sz w:val="32"/>
          <w:szCs w:val="32"/>
        </w:rPr>
        <w:t>审查该案调查记录后对上述行政法官初裁</w:t>
      </w:r>
      <w:proofErr w:type="gramStart"/>
      <w:r w:rsidRPr="001C0005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C0005">
        <w:rPr>
          <w:rFonts w:ascii="仿宋_GB2312" w:eastAsia="仿宋_GB2312" w:hint="eastAsia"/>
          <w:sz w:val="32"/>
          <w:szCs w:val="32"/>
        </w:rPr>
        <w:t>部分复审裁决。且对涉案产品适用的</w:t>
      </w:r>
      <w:r w:rsidRPr="001C0005">
        <w:rPr>
          <w:rFonts w:ascii="仿宋_GB2312" w:eastAsia="仿宋_GB2312"/>
          <w:sz w:val="32"/>
          <w:szCs w:val="32"/>
        </w:rPr>
        <w:t>337</w:t>
      </w:r>
      <w:r w:rsidRPr="001C0005">
        <w:rPr>
          <w:rFonts w:ascii="仿宋_GB2312" w:eastAsia="仿宋_GB2312" w:hint="eastAsia"/>
          <w:sz w:val="32"/>
          <w:szCs w:val="32"/>
        </w:rPr>
        <w:t>措施</w:t>
      </w:r>
      <w:proofErr w:type="gramStart"/>
      <w:r w:rsidRPr="001C0005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C0005">
        <w:rPr>
          <w:rFonts w:ascii="仿宋_GB2312" w:eastAsia="仿宋_GB2312" w:hint="eastAsia"/>
          <w:sz w:val="32"/>
          <w:szCs w:val="32"/>
        </w:rPr>
        <w:t>裁决：（</w:t>
      </w:r>
      <w:r w:rsidRPr="001C0005">
        <w:rPr>
          <w:rFonts w:ascii="仿宋_GB2312" w:eastAsia="仿宋_GB2312"/>
          <w:sz w:val="32"/>
          <w:szCs w:val="32"/>
        </w:rPr>
        <w:t>1</w:t>
      </w:r>
      <w:r w:rsidRPr="001C0005">
        <w:rPr>
          <w:rFonts w:ascii="仿宋_GB2312" w:eastAsia="仿宋_GB2312" w:hint="eastAsia"/>
          <w:sz w:val="32"/>
          <w:szCs w:val="32"/>
        </w:rPr>
        <w:t>）侵犯第</w:t>
      </w:r>
      <w:r w:rsidRPr="001C0005">
        <w:rPr>
          <w:rFonts w:ascii="仿宋_GB2312" w:eastAsia="仿宋_GB2312"/>
          <w:sz w:val="32"/>
          <w:szCs w:val="32"/>
        </w:rPr>
        <w:t>7320691</w:t>
      </w:r>
      <w:r w:rsidRPr="001C0005">
        <w:rPr>
          <w:rFonts w:ascii="仿宋_GB2312" w:eastAsia="仿宋_GB2312" w:hint="eastAsia"/>
          <w:sz w:val="32"/>
          <w:szCs w:val="32"/>
        </w:rPr>
        <w:t>号专利第</w:t>
      </w:r>
      <w:r w:rsidRPr="001C0005">
        <w:rPr>
          <w:rFonts w:ascii="仿宋_GB2312" w:eastAsia="仿宋_GB2312"/>
          <w:sz w:val="32"/>
          <w:szCs w:val="32"/>
        </w:rPr>
        <w:t>1</w:t>
      </w:r>
      <w:r w:rsidRPr="001C0005">
        <w:rPr>
          <w:rFonts w:ascii="仿宋_GB2312" w:eastAsia="仿宋_GB2312" w:hint="eastAsia"/>
          <w:sz w:val="32"/>
          <w:szCs w:val="32"/>
        </w:rPr>
        <w:t>、</w:t>
      </w:r>
      <w:r w:rsidRPr="001C0005">
        <w:rPr>
          <w:rFonts w:ascii="仿宋_GB2312" w:eastAsia="仿宋_GB2312"/>
          <w:sz w:val="32"/>
          <w:szCs w:val="32"/>
        </w:rPr>
        <w:t>4-6</w:t>
      </w:r>
      <w:r w:rsidRPr="001C0005">
        <w:rPr>
          <w:rFonts w:ascii="仿宋_GB2312" w:eastAsia="仿宋_GB2312" w:hint="eastAsia"/>
          <w:sz w:val="32"/>
          <w:szCs w:val="32"/>
        </w:rPr>
        <w:t>、</w:t>
      </w:r>
      <w:r w:rsidRPr="001C0005">
        <w:rPr>
          <w:rFonts w:ascii="仿宋_GB2312" w:eastAsia="仿宋_GB2312"/>
          <w:sz w:val="32"/>
          <w:szCs w:val="32"/>
        </w:rPr>
        <w:t>16</w:t>
      </w:r>
      <w:r w:rsidRPr="001C0005">
        <w:rPr>
          <w:rFonts w:ascii="仿宋_GB2312" w:eastAsia="仿宋_GB2312" w:hint="eastAsia"/>
          <w:sz w:val="32"/>
          <w:szCs w:val="32"/>
        </w:rPr>
        <w:t>、</w:t>
      </w:r>
      <w:r w:rsidRPr="001C0005">
        <w:rPr>
          <w:rFonts w:ascii="仿宋_GB2312" w:eastAsia="仿宋_GB2312"/>
          <w:sz w:val="32"/>
          <w:szCs w:val="32"/>
        </w:rPr>
        <w:t>22</w:t>
      </w:r>
      <w:r w:rsidRPr="001C0005">
        <w:rPr>
          <w:rFonts w:ascii="仿宋_GB2312" w:eastAsia="仿宋_GB2312" w:hint="eastAsia"/>
          <w:sz w:val="32"/>
          <w:szCs w:val="32"/>
        </w:rPr>
        <w:t>、</w:t>
      </w:r>
      <w:r w:rsidRPr="001C0005">
        <w:rPr>
          <w:rFonts w:ascii="仿宋_GB2312" w:eastAsia="仿宋_GB2312"/>
          <w:sz w:val="32"/>
          <w:szCs w:val="32"/>
        </w:rPr>
        <w:t>31</w:t>
      </w:r>
      <w:r w:rsidRPr="001C0005">
        <w:rPr>
          <w:rFonts w:ascii="仿宋_GB2312" w:eastAsia="仿宋_GB2312" w:hint="eastAsia"/>
          <w:sz w:val="32"/>
          <w:szCs w:val="32"/>
        </w:rPr>
        <w:t>、</w:t>
      </w:r>
      <w:r w:rsidRPr="001C0005">
        <w:rPr>
          <w:rFonts w:ascii="仿宋_GB2312" w:eastAsia="仿宋_GB2312"/>
          <w:sz w:val="32"/>
          <w:szCs w:val="32"/>
        </w:rPr>
        <w:t>33</w:t>
      </w:r>
      <w:r w:rsidRPr="001C0005">
        <w:rPr>
          <w:rFonts w:ascii="仿宋_GB2312" w:eastAsia="仿宋_GB2312" w:hint="eastAsia"/>
          <w:sz w:val="32"/>
          <w:szCs w:val="32"/>
        </w:rPr>
        <w:t>、</w:t>
      </w:r>
      <w:r w:rsidRPr="001C0005">
        <w:rPr>
          <w:rFonts w:ascii="仿宋_GB2312" w:eastAsia="仿宋_GB2312"/>
          <w:sz w:val="32"/>
          <w:szCs w:val="32"/>
        </w:rPr>
        <w:t>39-41</w:t>
      </w:r>
      <w:r w:rsidRPr="001C0005">
        <w:rPr>
          <w:rFonts w:ascii="仿宋_GB2312" w:eastAsia="仿宋_GB2312" w:hint="eastAsia"/>
          <w:sz w:val="32"/>
          <w:szCs w:val="32"/>
        </w:rPr>
        <w:t>、</w:t>
      </w:r>
      <w:r w:rsidRPr="001C0005">
        <w:rPr>
          <w:rFonts w:ascii="仿宋_GB2312" w:eastAsia="仿宋_GB2312"/>
          <w:sz w:val="32"/>
          <w:szCs w:val="32"/>
        </w:rPr>
        <w:t>42</w:t>
      </w:r>
      <w:r w:rsidRPr="001C0005">
        <w:rPr>
          <w:rFonts w:ascii="仿宋_GB2312" w:eastAsia="仿宋_GB2312" w:hint="eastAsia"/>
          <w:sz w:val="32"/>
          <w:szCs w:val="32"/>
        </w:rPr>
        <w:t>、</w:t>
      </w:r>
      <w:r w:rsidRPr="001C0005">
        <w:rPr>
          <w:rFonts w:ascii="仿宋_GB2312" w:eastAsia="仿宋_GB2312"/>
          <w:sz w:val="32"/>
          <w:szCs w:val="32"/>
        </w:rPr>
        <w:t>44-46</w:t>
      </w:r>
      <w:r w:rsidRPr="001C0005">
        <w:rPr>
          <w:rFonts w:ascii="仿宋_GB2312" w:eastAsia="仿宋_GB2312" w:hint="eastAsia"/>
          <w:sz w:val="32"/>
          <w:szCs w:val="32"/>
        </w:rPr>
        <w:t>和</w:t>
      </w:r>
      <w:r w:rsidRPr="001C0005">
        <w:rPr>
          <w:rFonts w:ascii="仿宋_GB2312" w:eastAsia="仿宋_GB2312"/>
          <w:sz w:val="32"/>
          <w:szCs w:val="32"/>
        </w:rPr>
        <w:t>49</w:t>
      </w:r>
      <w:r w:rsidRPr="001C0005">
        <w:rPr>
          <w:rFonts w:ascii="仿宋_GB2312" w:eastAsia="仿宋_GB2312" w:hint="eastAsia"/>
          <w:sz w:val="32"/>
          <w:szCs w:val="32"/>
        </w:rPr>
        <w:t>项及第</w:t>
      </w:r>
      <w:r w:rsidRPr="001C0005">
        <w:rPr>
          <w:rFonts w:ascii="仿宋_GB2312" w:eastAsia="仿宋_GB2312"/>
          <w:sz w:val="32"/>
          <w:szCs w:val="32"/>
        </w:rPr>
        <w:t>7386906</w:t>
      </w:r>
      <w:r w:rsidRPr="001C0005">
        <w:rPr>
          <w:rFonts w:ascii="仿宋_GB2312" w:eastAsia="仿宋_GB2312" w:hint="eastAsia"/>
          <w:sz w:val="32"/>
          <w:szCs w:val="32"/>
        </w:rPr>
        <w:t>号专利第</w:t>
      </w:r>
      <w:r w:rsidRPr="001C0005">
        <w:rPr>
          <w:rFonts w:ascii="仿宋_GB2312" w:eastAsia="仿宋_GB2312"/>
          <w:sz w:val="32"/>
          <w:szCs w:val="32"/>
        </w:rPr>
        <w:t>1-2</w:t>
      </w:r>
      <w:r w:rsidRPr="001C0005">
        <w:rPr>
          <w:rFonts w:ascii="仿宋_GB2312" w:eastAsia="仿宋_GB2312" w:hint="eastAsia"/>
          <w:sz w:val="32"/>
          <w:szCs w:val="32"/>
        </w:rPr>
        <w:t>、</w:t>
      </w:r>
      <w:r w:rsidRPr="001C0005">
        <w:rPr>
          <w:rFonts w:ascii="仿宋_GB2312" w:eastAsia="仿宋_GB2312"/>
          <w:sz w:val="32"/>
          <w:szCs w:val="32"/>
        </w:rPr>
        <w:t>4-5</w:t>
      </w:r>
      <w:r w:rsidRPr="001C0005">
        <w:rPr>
          <w:rFonts w:ascii="仿宋_GB2312" w:eastAsia="仿宋_GB2312" w:hint="eastAsia"/>
          <w:sz w:val="32"/>
          <w:szCs w:val="32"/>
        </w:rPr>
        <w:t>和</w:t>
      </w:r>
      <w:r w:rsidRPr="001C0005">
        <w:rPr>
          <w:rFonts w:ascii="仿宋_GB2312" w:eastAsia="仿宋_GB2312"/>
          <w:sz w:val="32"/>
          <w:szCs w:val="32"/>
        </w:rPr>
        <w:t>7-15</w:t>
      </w:r>
      <w:r w:rsidRPr="001C0005">
        <w:rPr>
          <w:rFonts w:ascii="仿宋_GB2312" w:eastAsia="仿宋_GB2312" w:hint="eastAsia"/>
          <w:sz w:val="32"/>
          <w:szCs w:val="32"/>
        </w:rPr>
        <w:t>项权利要求主张的涉案产品适用普遍排除令；（</w:t>
      </w:r>
      <w:r w:rsidRPr="001C0005">
        <w:rPr>
          <w:rFonts w:ascii="仿宋_GB2312" w:eastAsia="仿宋_GB2312"/>
          <w:sz w:val="32"/>
          <w:szCs w:val="32"/>
        </w:rPr>
        <w:t>2</w:t>
      </w:r>
      <w:r w:rsidRPr="001C0005">
        <w:rPr>
          <w:rFonts w:ascii="仿宋_GB2312" w:eastAsia="仿宋_GB2312" w:hint="eastAsia"/>
          <w:sz w:val="32"/>
          <w:szCs w:val="32"/>
        </w:rPr>
        <w:t>）侵犯第</w:t>
      </w:r>
      <w:r w:rsidRPr="001C0005">
        <w:rPr>
          <w:rFonts w:ascii="仿宋_GB2312" w:eastAsia="仿宋_GB2312"/>
          <w:sz w:val="32"/>
          <w:szCs w:val="32"/>
        </w:rPr>
        <w:t>D523809</w:t>
      </w:r>
      <w:r w:rsidRPr="001C0005">
        <w:rPr>
          <w:rFonts w:ascii="仿宋_GB2312" w:eastAsia="仿宋_GB2312" w:hint="eastAsia"/>
          <w:sz w:val="32"/>
          <w:szCs w:val="32"/>
        </w:rPr>
        <w:t>号专利的所有主张的涉案产品及</w:t>
      </w:r>
      <w:r w:rsidRPr="001C0005">
        <w:rPr>
          <w:rFonts w:ascii="仿宋_GB2312" w:eastAsia="仿宋_GB2312"/>
          <w:sz w:val="32"/>
          <w:szCs w:val="32"/>
        </w:rPr>
        <w:t>Beauty Tech</w:t>
      </w:r>
      <w:r w:rsidRPr="001C0005">
        <w:rPr>
          <w:rFonts w:ascii="仿宋_GB2312" w:eastAsia="仿宋_GB2312" w:hint="eastAsia"/>
          <w:sz w:val="32"/>
          <w:szCs w:val="32"/>
        </w:rPr>
        <w:t>、</w:t>
      </w:r>
      <w:proofErr w:type="spellStart"/>
      <w:r w:rsidRPr="001C0005">
        <w:rPr>
          <w:rFonts w:ascii="仿宋_GB2312" w:eastAsia="仿宋_GB2312"/>
          <w:sz w:val="32"/>
          <w:szCs w:val="32"/>
        </w:rPr>
        <w:t>Flageoli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>、</w:t>
      </w:r>
      <w:r w:rsidRPr="001C0005">
        <w:rPr>
          <w:rFonts w:ascii="仿宋_GB2312" w:eastAsia="仿宋_GB2312"/>
          <w:sz w:val="32"/>
          <w:szCs w:val="32"/>
        </w:rPr>
        <w:t>Our Family Jewels</w:t>
      </w:r>
      <w:r w:rsidRPr="001C0005">
        <w:rPr>
          <w:rFonts w:ascii="仿宋_GB2312" w:eastAsia="仿宋_GB2312" w:hint="eastAsia"/>
          <w:sz w:val="32"/>
          <w:szCs w:val="32"/>
        </w:rPr>
        <w:t>、</w:t>
      </w:r>
      <w:r w:rsidRPr="001C0005">
        <w:rPr>
          <w:rFonts w:ascii="仿宋_GB2312" w:eastAsia="仿宋_GB2312"/>
          <w:sz w:val="32"/>
          <w:szCs w:val="32"/>
        </w:rPr>
        <w:t>Serious Skin Care</w:t>
      </w:r>
      <w:r w:rsidRPr="001C0005">
        <w:rPr>
          <w:rFonts w:ascii="仿宋_GB2312" w:eastAsia="仿宋_GB2312" w:hint="eastAsia"/>
          <w:sz w:val="32"/>
          <w:szCs w:val="32"/>
        </w:rPr>
        <w:t>和</w:t>
      </w:r>
      <w:proofErr w:type="spellStart"/>
      <w:r w:rsidRPr="001C0005">
        <w:rPr>
          <w:rFonts w:ascii="仿宋_GB2312" w:eastAsia="仿宋_GB2312"/>
          <w:sz w:val="32"/>
          <w:szCs w:val="32"/>
        </w:rPr>
        <w:t>Anzikang</w:t>
      </w:r>
      <w:proofErr w:type="spellEnd"/>
      <w:r w:rsidRPr="001C0005">
        <w:rPr>
          <w:rFonts w:ascii="仿宋_GB2312" w:eastAsia="仿宋_GB2312" w:hint="eastAsia"/>
          <w:sz w:val="32"/>
          <w:szCs w:val="32"/>
        </w:rPr>
        <w:t>进口或美国境外生产的涉案产品适用有限排除令；（</w:t>
      </w:r>
      <w:r w:rsidRPr="001C0005">
        <w:rPr>
          <w:rFonts w:ascii="仿宋_GB2312" w:eastAsia="仿宋_GB2312"/>
          <w:sz w:val="32"/>
          <w:szCs w:val="32"/>
        </w:rPr>
        <w:t>3</w:t>
      </w:r>
      <w:r w:rsidRPr="001C0005">
        <w:rPr>
          <w:rFonts w:ascii="仿宋_GB2312" w:eastAsia="仿宋_GB2312" w:hint="eastAsia"/>
          <w:sz w:val="32"/>
          <w:szCs w:val="32"/>
        </w:rPr>
        <w:t>）所有缺席的应诉方适用禁止令。</w:t>
      </w:r>
    </w:p>
    <w:p w:rsidR="00322384" w:rsidRPr="001C0005" w:rsidRDefault="00322384" w:rsidP="00322384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C0005">
        <w:rPr>
          <w:rFonts w:ascii="仿宋_GB2312" w:eastAsia="仿宋_GB2312"/>
          <w:sz w:val="32"/>
          <w:szCs w:val="32"/>
        </w:rPr>
        <w:t>尽管2016年出口关税方面继续保持较为优惠的政策，但出口量却出现较大幅度下降，主要有三方面原因：一是国际市场不景气，农业化肥需求平淡，中国化肥出口难以继续保持增长；二是随着国际新产能增加，国际化肥市场竞争日趋激烈，而中国化肥生产成本较高，国际市场竞争力下降；</w:t>
      </w:r>
      <w:r w:rsidRPr="001C0005">
        <w:rPr>
          <w:rFonts w:ascii="仿宋_GB2312" w:eastAsia="仿宋_GB2312"/>
          <w:sz w:val="32"/>
          <w:szCs w:val="32"/>
        </w:rPr>
        <w:lastRenderedPageBreak/>
        <w:t>三是自去年10月份后，国内市场需求转旺，尿素等产品价格大幅上涨，企业把重点转向了保国内需求，出口减少。</w:t>
      </w:r>
    </w:p>
    <w:p w:rsidR="00322384" w:rsidRPr="00502BDB" w:rsidRDefault="00322384" w:rsidP="00322384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C0005">
        <w:rPr>
          <w:rFonts w:ascii="仿宋_GB2312" w:eastAsia="仿宋_GB2312"/>
          <w:sz w:val="32"/>
          <w:szCs w:val="32"/>
        </w:rPr>
        <w:t>2016年全年中国累计进口化肥832万吨，同比下降25.4%；累计进口金额24.06亿美元，同比下降38.7%。其中，氯化钾累计进口682万吨，同比减少27.6%；氮磷钾三元复合肥累计进口113万吨，同比减少22.6%。进口量下降的主要原因是，随着中国化肥产能增加，自给率提高，国产化肥替代了部分进口。</w:t>
      </w:r>
    </w:p>
    <w:p w:rsidR="004853B8" w:rsidRPr="00DD1299" w:rsidRDefault="004853B8" w:rsidP="002D0FCE">
      <w:pPr>
        <w:widowControl/>
        <w:shd w:val="clear" w:color="auto" w:fill="FFFFFF"/>
        <w:spacing w:line="504" w:lineRule="atLeast"/>
        <w:ind w:firstLine="480"/>
        <w:jc w:val="left"/>
        <w:rPr>
          <w:rFonts w:ascii="仿宋_GB2312" w:eastAsia="仿宋_GB2312"/>
          <w:sz w:val="32"/>
          <w:szCs w:val="32"/>
        </w:rPr>
      </w:pPr>
    </w:p>
    <w:p w:rsidR="00F66C37" w:rsidRPr="007A032F" w:rsidRDefault="00F66C37" w:rsidP="002D0FCE">
      <w:pPr>
        <w:ind w:firstLine="645"/>
        <w:rPr>
          <w:rFonts w:ascii="仿宋_GB2312" w:eastAsia="仿宋_GB2312"/>
          <w:sz w:val="24"/>
          <w:szCs w:val="24"/>
        </w:rPr>
      </w:pPr>
      <w:bookmarkStart w:id="15" w:name="_GoBack"/>
      <w:bookmarkEnd w:id="14"/>
      <w:bookmarkEnd w:id="15"/>
    </w:p>
    <w:sectPr w:rsidR="00F66C37" w:rsidRPr="007A032F" w:rsidSect="007A032F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88" w:rsidRDefault="00811E88" w:rsidP="00140381">
      <w:pPr>
        <w:spacing w:line="240" w:lineRule="auto"/>
      </w:pPr>
      <w:r>
        <w:separator/>
      </w:r>
    </w:p>
  </w:endnote>
  <w:endnote w:type="continuationSeparator" w:id="0">
    <w:p w:rsidR="00811E88" w:rsidRDefault="00811E88" w:rsidP="00140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9844"/>
      <w:docPartObj>
        <w:docPartGallery w:val="Page Numbers (Bottom of Page)"/>
        <w:docPartUnique/>
      </w:docPartObj>
    </w:sdtPr>
    <w:sdtEndPr/>
    <w:sdtContent>
      <w:p w:rsidR="007A032F" w:rsidRDefault="009B04CA">
        <w:pPr>
          <w:pStyle w:val="a4"/>
          <w:jc w:val="center"/>
        </w:pPr>
        <w:r>
          <w:fldChar w:fldCharType="begin"/>
        </w:r>
        <w:r w:rsidR="00090102">
          <w:instrText xml:space="preserve"> PAGE   \* MERGEFORMAT </w:instrText>
        </w:r>
        <w:r>
          <w:fldChar w:fldCharType="separate"/>
        </w:r>
        <w:r w:rsidR="002C79C9" w:rsidRPr="002C79C9">
          <w:rPr>
            <w:noProof/>
            <w:lang w:val="zh-CN"/>
          </w:rPr>
          <w:t>-</w:t>
        </w:r>
        <w:r w:rsidR="002C79C9">
          <w:rPr>
            <w:noProof/>
          </w:rPr>
          <w:t xml:space="preserve"> 7 -</w:t>
        </w:r>
        <w:r>
          <w:rPr>
            <w:noProof/>
          </w:rPr>
          <w:fldChar w:fldCharType="end"/>
        </w:r>
      </w:p>
    </w:sdtContent>
  </w:sdt>
  <w:p w:rsidR="007A032F" w:rsidRDefault="007A03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88" w:rsidRDefault="00811E88" w:rsidP="00140381">
      <w:pPr>
        <w:spacing w:line="240" w:lineRule="auto"/>
      </w:pPr>
      <w:r>
        <w:separator/>
      </w:r>
    </w:p>
  </w:footnote>
  <w:footnote w:type="continuationSeparator" w:id="0">
    <w:p w:rsidR="00811E88" w:rsidRDefault="00811E88" w:rsidP="001403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D80"/>
    <w:multiLevelType w:val="hybridMultilevel"/>
    <w:tmpl w:val="7C9CF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9480A"/>
    <w:multiLevelType w:val="hybridMultilevel"/>
    <w:tmpl w:val="3BF0CDA2"/>
    <w:lvl w:ilvl="0" w:tplc="B6902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9B4172"/>
    <w:multiLevelType w:val="hybridMultilevel"/>
    <w:tmpl w:val="D820F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4F0D2F"/>
    <w:multiLevelType w:val="hybridMultilevel"/>
    <w:tmpl w:val="0A4E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774AB5"/>
    <w:multiLevelType w:val="hybridMultilevel"/>
    <w:tmpl w:val="FE7A2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381"/>
    <w:rsid w:val="00013876"/>
    <w:rsid w:val="00031B69"/>
    <w:rsid w:val="00045FA3"/>
    <w:rsid w:val="00056FA4"/>
    <w:rsid w:val="00074228"/>
    <w:rsid w:val="00090102"/>
    <w:rsid w:val="00093429"/>
    <w:rsid w:val="000A4B15"/>
    <w:rsid w:val="000C18D9"/>
    <w:rsid w:val="000C5561"/>
    <w:rsid w:val="000D5CA1"/>
    <w:rsid w:val="000E3008"/>
    <w:rsid w:val="000E5DDF"/>
    <w:rsid w:val="000E7D82"/>
    <w:rsid w:val="000F16D7"/>
    <w:rsid w:val="00106BDA"/>
    <w:rsid w:val="00140381"/>
    <w:rsid w:val="00145D52"/>
    <w:rsid w:val="00151AE1"/>
    <w:rsid w:val="0016134F"/>
    <w:rsid w:val="001728F1"/>
    <w:rsid w:val="00180D89"/>
    <w:rsid w:val="001918A3"/>
    <w:rsid w:val="001B5832"/>
    <w:rsid w:val="001B7557"/>
    <w:rsid w:val="001C0005"/>
    <w:rsid w:val="001D3941"/>
    <w:rsid w:val="001E78B8"/>
    <w:rsid w:val="001F7D5C"/>
    <w:rsid w:val="00211B73"/>
    <w:rsid w:val="00211E77"/>
    <w:rsid w:val="00220ADE"/>
    <w:rsid w:val="00221FFB"/>
    <w:rsid w:val="002509BB"/>
    <w:rsid w:val="002563AF"/>
    <w:rsid w:val="002620EF"/>
    <w:rsid w:val="0027333F"/>
    <w:rsid w:val="00280672"/>
    <w:rsid w:val="0028610A"/>
    <w:rsid w:val="002B1621"/>
    <w:rsid w:val="002B1CE3"/>
    <w:rsid w:val="002B2701"/>
    <w:rsid w:val="002B288F"/>
    <w:rsid w:val="002B3BE2"/>
    <w:rsid w:val="002B4D39"/>
    <w:rsid w:val="002C79C9"/>
    <w:rsid w:val="002D0FCE"/>
    <w:rsid w:val="002F1032"/>
    <w:rsid w:val="002F61E2"/>
    <w:rsid w:val="00310D29"/>
    <w:rsid w:val="00311B60"/>
    <w:rsid w:val="00322384"/>
    <w:rsid w:val="003264D1"/>
    <w:rsid w:val="003313DB"/>
    <w:rsid w:val="00337F01"/>
    <w:rsid w:val="00340557"/>
    <w:rsid w:val="00346D26"/>
    <w:rsid w:val="0035439D"/>
    <w:rsid w:val="0036184E"/>
    <w:rsid w:val="00373D0B"/>
    <w:rsid w:val="003806E6"/>
    <w:rsid w:val="00380871"/>
    <w:rsid w:val="0039549D"/>
    <w:rsid w:val="003B3F85"/>
    <w:rsid w:val="003C5418"/>
    <w:rsid w:val="003D0B42"/>
    <w:rsid w:val="003D432B"/>
    <w:rsid w:val="003E74C7"/>
    <w:rsid w:val="00423FB4"/>
    <w:rsid w:val="00424F3D"/>
    <w:rsid w:val="00432106"/>
    <w:rsid w:val="00435EB3"/>
    <w:rsid w:val="00443FED"/>
    <w:rsid w:val="004500BF"/>
    <w:rsid w:val="00453AF9"/>
    <w:rsid w:val="00454C36"/>
    <w:rsid w:val="004836EF"/>
    <w:rsid w:val="00484221"/>
    <w:rsid w:val="004853B8"/>
    <w:rsid w:val="0048624C"/>
    <w:rsid w:val="00492BB3"/>
    <w:rsid w:val="004C433A"/>
    <w:rsid w:val="004C50F3"/>
    <w:rsid w:val="004C783F"/>
    <w:rsid w:val="004D4A9D"/>
    <w:rsid w:val="004D5B57"/>
    <w:rsid w:val="004F446F"/>
    <w:rsid w:val="00502BDB"/>
    <w:rsid w:val="0050611D"/>
    <w:rsid w:val="00510FCF"/>
    <w:rsid w:val="0052150B"/>
    <w:rsid w:val="0052708B"/>
    <w:rsid w:val="005313CF"/>
    <w:rsid w:val="00556DC1"/>
    <w:rsid w:val="0057573E"/>
    <w:rsid w:val="00576BA4"/>
    <w:rsid w:val="0058210E"/>
    <w:rsid w:val="00590369"/>
    <w:rsid w:val="00590A60"/>
    <w:rsid w:val="00594EF4"/>
    <w:rsid w:val="00596627"/>
    <w:rsid w:val="005A0D9B"/>
    <w:rsid w:val="005A6978"/>
    <w:rsid w:val="005C6352"/>
    <w:rsid w:val="005C6B98"/>
    <w:rsid w:val="005D220F"/>
    <w:rsid w:val="005D3C5A"/>
    <w:rsid w:val="00600675"/>
    <w:rsid w:val="006063BC"/>
    <w:rsid w:val="00633F0F"/>
    <w:rsid w:val="0064545F"/>
    <w:rsid w:val="0065131F"/>
    <w:rsid w:val="0065697D"/>
    <w:rsid w:val="006872AD"/>
    <w:rsid w:val="00687538"/>
    <w:rsid w:val="006A5C2E"/>
    <w:rsid w:val="006A7C51"/>
    <w:rsid w:val="006C5828"/>
    <w:rsid w:val="006C7E24"/>
    <w:rsid w:val="006D5085"/>
    <w:rsid w:val="006D5B25"/>
    <w:rsid w:val="0070717C"/>
    <w:rsid w:val="00724D99"/>
    <w:rsid w:val="00735C19"/>
    <w:rsid w:val="0074117F"/>
    <w:rsid w:val="00743917"/>
    <w:rsid w:val="00751C78"/>
    <w:rsid w:val="00770A53"/>
    <w:rsid w:val="0077744E"/>
    <w:rsid w:val="007936CA"/>
    <w:rsid w:val="00794C87"/>
    <w:rsid w:val="007A032F"/>
    <w:rsid w:val="007B390B"/>
    <w:rsid w:val="007B539A"/>
    <w:rsid w:val="007C2BCA"/>
    <w:rsid w:val="007E0348"/>
    <w:rsid w:val="007E1EEC"/>
    <w:rsid w:val="007F10FC"/>
    <w:rsid w:val="007F51A7"/>
    <w:rsid w:val="007F7390"/>
    <w:rsid w:val="00800429"/>
    <w:rsid w:val="00801FA8"/>
    <w:rsid w:val="00811E88"/>
    <w:rsid w:val="00812C50"/>
    <w:rsid w:val="00825C7F"/>
    <w:rsid w:val="00851014"/>
    <w:rsid w:val="00852E00"/>
    <w:rsid w:val="008840C8"/>
    <w:rsid w:val="00884C23"/>
    <w:rsid w:val="00885CF2"/>
    <w:rsid w:val="00891435"/>
    <w:rsid w:val="008935AA"/>
    <w:rsid w:val="00893664"/>
    <w:rsid w:val="008A44D5"/>
    <w:rsid w:val="008A5F67"/>
    <w:rsid w:val="008B50A9"/>
    <w:rsid w:val="008D595D"/>
    <w:rsid w:val="008F1700"/>
    <w:rsid w:val="009115A3"/>
    <w:rsid w:val="00945BAD"/>
    <w:rsid w:val="0095042D"/>
    <w:rsid w:val="0095224B"/>
    <w:rsid w:val="009533BB"/>
    <w:rsid w:val="00966B5E"/>
    <w:rsid w:val="0097222D"/>
    <w:rsid w:val="00974213"/>
    <w:rsid w:val="00977B18"/>
    <w:rsid w:val="009851E2"/>
    <w:rsid w:val="00991DD2"/>
    <w:rsid w:val="009A6A0A"/>
    <w:rsid w:val="009B04CA"/>
    <w:rsid w:val="009C35FB"/>
    <w:rsid w:val="009C52E2"/>
    <w:rsid w:val="009D41C7"/>
    <w:rsid w:val="009E289E"/>
    <w:rsid w:val="009E72C9"/>
    <w:rsid w:val="009F34E5"/>
    <w:rsid w:val="00A1267E"/>
    <w:rsid w:val="00A13EB8"/>
    <w:rsid w:val="00A17BE0"/>
    <w:rsid w:val="00A453C8"/>
    <w:rsid w:val="00A61460"/>
    <w:rsid w:val="00A641A7"/>
    <w:rsid w:val="00A641DE"/>
    <w:rsid w:val="00A6445E"/>
    <w:rsid w:val="00A77BC6"/>
    <w:rsid w:val="00A82ADA"/>
    <w:rsid w:val="00A84946"/>
    <w:rsid w:val="00A908FD"/>
    <w:rsid w:val="00A92C3C"/>
    <w:rsid w:val="00A95D64"/>
    <w:rsid w:val="00AB178E"/>
    <w:rsid w:val="00AC6307"/>
    <w:rsid w:val="00AD19D8"/>
    <w:rsid w:val="00AD627D"/>
    <w:rsid w:val="00AE188A"/>
    <w:rsid w:val="00AE2168"/>
    <w:rsid w:val="00AF3778"/>
    <w:rsid w:val="00AF47C3"/>
    <w:rsid w:val="00AF65A3"/>
    <w:rsid w:val="00B02802"/>
    <w:rsid w:val="00B05B00"/>
    <w:rsid w:val="00B1742A"/>
    <w:rsid w:val="00B17AD2"/>
    <w:rsid w:val="00B17D48"/>
    <w:rsid w:val="00B20ACF"/>
    <w:rsid w:val="00B22694"/>
    <w:rsid w:val="00B2542F"/>
    <w:rsid w:val="00B43B1D"/>
    <w:rsid w:val="00B43BCE"/>
    <w:rsid w:val="00B540D7"/>
    <w:rsid w:val="00B632CC"/>
    <w:rsid w:val="00B65885"/>
    <w:rsid w:val="00B769B6"/>
    <w:rsid w:val="00B80973"/>
    <w:rsid w:val="00B92F3A"/>
    <w:rsid w:val="00BA01B0"/>
    <w:rsid w:val="00BA265E"/>
    <w:rsid w:val="00BB0382"/>
    <w:rsid w:val="00BB5B9D"/>
    <w:rsid w:val="00BC1FBC"/>
    <w:rsid w:val="00BD62DE"/>
    <w:rsid w:val="00BE3C49"/>
    <w:rsid w:val="00BE5697"/>
    <w:rsid w:val="00BF4ED0"/>
    <w:rsid w:val="00C00018"/>
    <w:rsid w:val="00C06614"/>
    <w:rsid w:val="00C14CFA"/>
    <w:rsid w:val="00C33635"/>
    <w:rsid w:val="00C33E96"/>
    <w:rsid w:val="00C41796"/>
    <w:rsid w:val="00C44CE5"/>
    <w:rsid w:val="00C52E9B"/>
    <w:rsid w:val="00C55685"/>
    <w:rsid w:val="00C6358A"/>
    <w:rsid w:val="00C82A8D"/>
    <w:rsid w:val="00CC2284"/>
    <w:rsid w:val="00CD7537"/>
    <w:rsid w:val="00CF173E"/>
    <w:rsid w:val="00CF64B6"/>
    <w:rsid w:val="00CF6C96"/>
    <w:rsid w:val="00D10B51"/>
    <w:rsid w:val="00D230EB"/>
    <w:rsid w:val="00D23323"/>
    <w:rsid w:val="00D24531"/>
    <w:rsid w:val="00D44552"/>
    <w:rsid w:val="00D46764"/>
    <w:rsid w:val="00D5015E"/>
    <w:rsid w:val="00D70A43"/>
    <w:rsid w:val="00D81AD8"/>
    <w:rsid w:val="00D8390D"/>
    <w:rsid w:val="00D85EED"/>
    <w:rsid w:val="00D90A2F"/>
    <w:rsid w:val="00D94578"/>
    <w:rsid w:val="00D9539E"/>
    <w:rsid w:val="00D95D26"/>
    <w:rsid w:val="00DB0882"/>
    <w:rsid w:val="00DB1BC1"/>
    <w:rsid w:val="00DB58F9"/>
    <w:rsid w:val="00DC00D6"/>
    <w:rsid w:val="00DD1299"/>
    <w:rsid w:val="00DE61C7"/>
    <w:rsid w:val="00DF2283"/>
    <w:rsid w:val="00DF66D3"/>
    <w:rsid w:val="00E075B4"/>
    <w:rsid w:val="00E16229"/>
    <w:rsid w:val="00E17508"/>
    <w:rsid w:val="00E21D5F"/>
    <w:rsid w:val="00E35D42"/>
    <w:rsid w:val="00E370C5"/>
    <w:rsid w:val="00E555A0"/>
    <w:rsid w:val="00E65527"/>
    <w:rsid w:val="00E6745A"/>
    <w:rsid w:val="00E801B0"/>
    <w:rsid w:val="00E83EF8"/>
    <w:rsid w:val="00E97E2E"/>
    <w:rsid w:val="00EA0790"/>
    <w:rsid w:val="00EA2C26"/>
    <w:rsid w:val="00EA7340"/>
    <w:rsid w:val="00EC0856"/>
    <w:rsid w:val="00EE1083"/>
    <w:rsid w:val="00EF23D7"/>
    <w:rsid w:val="00EF70DA"/>
    <w:rsid w:val="00F130A3"/>
    <w:rsid w:val="00F242A2"/>
    <w:rsid w:val="00F25A55"/>
    <w:rsid w:val="00F47949"/>
    <w:rsid w:val="00F62F8D"/>
    <w:rsid w:val="00F66C37"/>
    <w:rsid w:val="00F7049D"/>
    <w:rsid w:val="00F83803"/>
    <w:rsid w:val="00F94932"/>
    <w:rsid w:val="00FA0C77"/>
    <w:rsid w:val="00FB1D42"/>
    <w:rsid w:val="00FB2F98"/>
    <w:rsid w:val="00FD6229"/>
    <w:rsid w:val="00FE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83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14038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38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3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0381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A95D6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184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FD622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82A8D"/>
  </w:style>
  <w:style w:type="character" w:styleId="a8">
    <w:name w:val="Emphasis"/>
    <w:basedOn w:val="a0"/>
    <w:uiPriority w:val="20"/>
    <w:qFormat/>
    <w:rsid w:val="00145D52"/>
    <w:rPr>
      <w:b w:val="0"/>
      <w:bCs w:val="0"/>
      <w:i w:val="0"/>
      <w:iCs w:val="0"/>
      <w:color w:val="CC0033"/>
    </w:rPr>
  </w:style>
  <w:style w:type="character" w:styleId="a9">
    <w:name w:val="Strong"/>
    <w:basedOn w:val="a0"/>
    <w:uiPriority w:val="22"/>
    <w:qFormat/>
    <w:rsid w:val="00F62F8D"/>
    <w:rPr>
      <w:b/>
      <w:bCs/>
    </w:rPr>
  </w:style>
  <w:style w:type="paragraph" w:customStyle="1" w:styleId="default">
    <w:name w:val="default"/>
    <w:basedOn w:val="a"/>
    <w:rsid w:val="00B43B1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A13E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Char1"/>
    <w:uiPriority w:val="11"/>
    <w:qFormat/>
    <w:rsid w:val="00DB58F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副标题 Char"/>
    <w:basedOn w:val="a0"/>
    <w:link w:val="ab"/>
    <w:uiPriority w:val="11"/>
    <w:rsid w:val="00DB58F9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4951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31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9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EA6AA"/>
                        <w:left w:val="single" w:sz="6" w:space="0" w:color="9EA6AA"/>
                        <w:bottom w:val="single" w:sz="6" w:space="0" w:color="9EA6AA"/>
                        <w:right w:val="single" w:sz="6" w:space="0" w:color="9EA6AA"/>
                      </w:divBdr>
                      <w:divsChild>
                        <w:div w:id="383721121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6848">
                                          <w:blockQuote w:val="1"/>
                                          <w:marLeft w:val="1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2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06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7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140">
              <w:blockQuote w:val="1"/>
              <w:marLeft w:val="1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A309-B3D3-4F53-B491-061C98CD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632</Words>
  <Characters>3608</Characters>
  <Application>Microsoft Office Word</Application>
  <DocSecurity>0</DocSecurity>
  <Lines>30</Lines>
  <Paragraphs>8</Paragraphs>
  <ScaleCrop>false</ScaleCrop>
  <Company>CCPIT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史晓初</dc:creator>
  <cp:lastModifiedBy>admin</cp:lastModifiedBy>
  <cp:revision>11</cp:revision>
  <cp:lastPrinted>2015-01-15T05:22:00Z</cp:lastPrinted>
  <dcterms:created xsi:type="dcterms:W3CDTF">2016-12-12T03:46:00Z</dcterms:created>
  <dcterms:modified xsi:type="dcterms:W3CDTF">2017-02-21T02:18:00Z</dcterms:modified>
</cp:coreProperties>
</file>